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olor w:val="5B9BD5" w:themeColor="accent1"/>
          <w:sz w:val="24"/>
        </w:rPr>
        <w:id w:val="1939634773"/>
        <w:docPartObj>
          <w:docPartGallery w:val="Cover Pages"/>
          <w:docPartUnique/>
        </w:docPartObj>
      </w:sdtPr>
      <w:sdtEndPr>
        <w:rPr>
          <w:b/>
          <w:color w:val="auto"/>
        </w:rPr>
      </w:sdtEndPr>
      <w:sdtContent>
        <w:p w14:paraId="03C039E9" w14:textId="77777777" w:rsidR="00BC03FA" w:rsidRDefault="00BC03FA" w:rsidP="00BC03FA">
          <w:pPr>
            <w:pStyle w:val="Tijeloteksta"/>
            <w:jc w:val="center"/>
            <w:rPr>
              <w:b/>
              <w:color w:val="333399"/>
              <w:sz w:val="24"/>
            </w:rPr>
          </w:pPr>
          <w:r>
            <w:rPr>
              <w:rFonts w:ascii="Times New Roman"/>
              <w:noProof/>
            </w:rPr>
            <w:drawing>
              <wp:inline distT="0" distB="0" distL="0" distR="0" wp14:anchorId="29ECB056" wp14:editId="7835AE80">
                <wp:extent cx="468088" cy="635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468088" cy="635507"/>
                        </a:xfrm>
                        <a:prstGeom prst="rect">
                          <a:avLst/>
                        </a:prstGeom>
                      </pic:spPr>
                    </pic:pic>
                  </a:graphicData>
                </a:graphic>
              </wp:inline>
            </w:drawing>
          </w:r>
        </w:p>
        <w:p w14:paraId="007A5B97" w14:textId="77777777" w:rsidR="00BC03FA" w:rsidRDefault="00BC03FA" w:rsidP="00BC03FA">
          <w:pPr>
            <w:pStyle w:val="Tijeloteksta"/>
            <w:ind w:left="2552"/>
            <w:jc w:val="center"/>
            <w:rPr>
              <w:b/>
              <w:color w:val="333399"/>
              <w:sz w:val="24"/>
            </w:rPr>
          </w:pPr>
        </w:p>
        <w:p w14:paraId="71186F51" w14:textId="77777777" w:rsidR="00BC03FA" w:rsidRPr="008B1EB9" w:rsidRDefault="00BC03FA" w:rsidP="00BC03FA">
          <w:pPr>
            <w:pStyle w:val="Tijeloteksta"/>
            <w:ind w:left="2552"/>
            <w:jc w:val="center"/>
            <w:rPr>
              <w:rFonts w:ascii="Times New Roman" w:hAnsi="Times New Roman"/>
              <w:b/>
              <w:sz w:val="24"/>
            </w:rPr>
          </w:pPr>
        </w:p>
        <w:p w14:paraId="517370DC" w14:textId="77777777" w:rsidR="00BC03FA" w:rsidRPr="008B1EB9" w:rsidRDefault="00BC03FA" w:rsidP="00BC03FA">
          <w:pPr>
            <w:pStyle w:val="Tijeloteksta"/>
            <w:jc w:val="center"/>
            <w:rPr>
              <w:rFonts w:ascii="Times New Roman" w:hAnsi="Times New Roman"/>
              <w:b/>
              <w:spacing w:val="1"/>
              <w:sz w:val="24"/>
            </w:rPr>
          </w:pPr>
          <w:bookmarkStart w:id="0" w:name="_Hlk120877790"/>
          <w:r w:rsidRPr="008B1EB9">
            <w:rPr>
              <w:rFonts w:ascii="Times New Roman" w:hAnsi="Times New Roman"/>
              <w:b/>
              <w:sz w:val="24"/>
            </w:rPr>
            <w:t>REPUBLIKA HRVATSKA</w:t>
          </w:r>
        </w:p>
        <w:p w14:paraId="54BD85A8" w14:textId="77777777" w:rsidR="00BC03FA" w:rsidRPr="008B1EB9" w:rsidRDefault="00BC03FA" w:rsidP="00BC03FA">
          <w:pPr>
            <w:pStyle w:val="Tijeloteksta"/>
            <w:jc w:val="center"/>
            <w:rPr>
              <w:rFonts w:ascii="Times New Roman" w:hAnsi="Times New Roman"/>
              <w:b/>
              <w:spacing w:val="1"/>
              <w:sz w:val="24"/>
            </w:rPr>
          </w:pPr>
          <w:r w:rsidRPr="008B1EB9">
            <w:rPr>
              <w:rFonts w:ascii="Times New Roman" w:hAnsi="Times New Roman"/>
              <w:b/>
              <w:sz w:val="24"/>
            </w:rPr>
            <w:t>MEĐIMURSKA ŽUPANIJA</w:t>
          </w:r>
        </w:p>
        <w:bookmarkEnd w:id="0"/>
        <w:p w14:paraId="05BD60CA" w14:textId="77777777" w:rsidR="00BC03FA" w:rsidRPr="008B1EB9" w:rsidRDefault="00BC03FA" w:rsidP="00BC03FA">
          <w:pPr>
            <w:pStyle w:val="Tijeloteksta"/>
            <w:ind w:left="3261" w:hanging="142"/>
            <w:rPr>
              <w:rFonts w:ascii="Times New Roman" w:hAnsi="Times New Roman"/>
              <w:b/>
              <w:sz w:val="24"/>
            </w:rPr>
          </w:pPr>
        </w:p>
        <w:p w14:paraId="4D36E84B" w14:textId="77777777" w:rsidR="00BC03FA" w:rsidRPr="008B1EB9" w:rsidRDefault="00BC03FA" w:rsidP="00BC03FA">
          <w:pPr>
            <w:pStyle w:val="Tijeloteksta"/>
            <w:rPr>
              <w:rFonts w:ascii="Times New Roman" w:hAnsi="Times New Roman"/>
              <w:b/>
              <w:sz w:val="24"/>
            </w:rPr>
          </w:pPr>
        </w:p>
        <w:p w14:paraId="4E7A66F4" w14:textId="77777777" w:rsidR="00BC03FA" w:rsidRPr="008B1EB9" w:rsidRDefault="00BC03FA" w:rsidP="00BC03FA">
          <w:pPr>
            <w:pStyle w:val="Tijeloteksta"/>
            <w:rPr>
              <w:rFonts w:ascii="Times New Roman" w:hAnsi="Times New Roman"/>
              <w:b/>
              <w:sz w:val="24"/>
            </w:rPr>
          </w:pPr>
        </w:p>
        <w:p w14:paraId="48CC7316" w14:textId="77777777" w:rsidR="00BC03FA" w:rsidRPr="008B1EB9" w:rsidRDefault="00BC03FA" w:rsidP="00BC03FA">
          <w:pPr>
            <w:pStyle w:val="Tijeloteksta"/>
            <w:rPr>
              <w:rFonts w:ascii="Times New Roman" w:hAnsi="Times New Roman"/>
              <w:b/>
              <w:sz w:val="24"/>
            </w:rPr>
          </w:pPr>
        </w:p>
        <w:p w14:paraId="6667E1AA" w14:textId="77777777" w:rsidR="00BC03FA" w:rsidRPr="008B1EB9" w:rsidRDefault="00BC03FA" w:rsidP="00BC03FA">
          <w:pPr>
            <w:pStyle w:val="Tijeloteksta"/>
            <w:rPr>
              <w:rFonts w:ascii="Times New Roman" w:hAnsi="Times New Roman"/>
              <w:b/>
              <w:sz w:val="24"/>
            </w:rPr>
          </w:pPr>
        </w:p>
        <w:p w14:paraId="3A492C52" w14:textId="77777777" w:rsidR="00BC03FA" w:rsidRDefault="00BC03FA" w:rsidP="00BC03FA">
          <w:pPr>
            <w:pStyle w:val="Tijeloteksta"/>
            <w:rPr>
              <w:rFonts w:ascii="Times New Roman" w:hAnsi="Times New Roman"/>
              <w:b/>
              <w:sz w:val="24"/>
            </w:rPr>
          </w:pPr>
        </w:p>
        <w:p w14:paraId="24361F68" w14:textId="77777777" w:rsidR="00BC03FA" w:rsidRPr="008B1EB9" w:rsidRDefault="00BC03FA" w:rsidP="00BC03FA">
          <w:pPr>
            <w:pStyle w:val="Tijeloteksta"/>
            <w:rPr>
              <w:rFonts w:ascii="Times New Roman" w:hAnsi="Times New Roman"/>
              <w:b/>
              <w:sz w:val="24"/>
            </w:rPr>
          </w:pPr>
        </w:p>
        <w:p w14:paraId="4B5F958C" w14:textId="77777777" w:rsidR="00BC03FA" w:rsidRPr="008B1EB9" w:rsidRDefault="00BC03FA" w:rsidP="00BC03FA">
          <w:pPr>
            <w:pStyle w:val="Tijeloteksta"/>
            <w:rPr>
              <w:rFonts w:ascii="Times New Roman" w:hAnsi="Times New Roman"/>
              <w:b/>
              <w:sz w:val="24"/>
            </w:rPr>
          </w:pPr>
        </w:p>
        <w:p w14:paraId="2CF9019D" w14:textId="77777777" w:rsidR="00BC03FA" w:rsidRDefault="00BC03FA" w:rsidP="00BC03FA">
          <w:pPr>
            <w:pStyle w:val="Tijeloteksta"/>
            <w:spacing w:before="1"/>
            <w:rPr>
              <w:rFonts w:ascii="Times New Roman" w:hAnsi="Times New Roman"/>
              <w:b/>
              <w:sz w:val="24"/>
            </w:rPr>
          </w:pPr>
        </w:p>
        <w:p w14:paraId="67BFB122" w14:textId="77777777" w:rsidR="00BC03FA" w:rsidRPr="008B1EB9" w:rsidRDefault="00BC03FA" w:rsidP="00BC03FA">
          <w:pPr>
            <w:pStyle w:val="Tijeloteksta"/>
            <w:spacing w:before="1"/>
            <w:rPr>
              <w:rFonts w:ascii="Times New Roman" w:hAnsi="Times New Roman"/>
              <w:b/>
              <w:sz w:val="24"/>
            </w:rPr>
          </w:pPr>
        </w:p>
        <w:p w14:paraId="5E997C89" w14:textId="77777777" w:rsidR="00874E4B" w:rsidRPr="00BC03FA" w:rsidRDefault="00874E4B">
          <w:pPr>
            <w:pStyle w:val="Bezproreda"/>
            <w:spacing w:before="1540" w:after="240"/>
            <w:jc w:val="center"/>
            <w:rPr>
              <w:color w:val="5B9BD5" w:themeColor="accent1"/>
              <w:lang w:val="hr-HR"/>
            </w:rPr>
          </w:pPr>
        </w:p>
        <w:sdt>
          <w:sdtPr>
            <w:rPr>
              <w:b/>
              <w:sz w:val="28"/>
              <w:szCs w:val="28"/>
              <w:lang w:val="hr-HR" w:eastAsia="hr-HR"/>
            </w:rPr>
            <w:alias w:val="Naslov"/>
            <w:tag w:val=""/>
            <w:id w:val="1735040861"/>
            <w:placeholder>
              <w:docPart w:val="AC500D0B057F4A44A7525891DF082189"/>
            </w:placeholder>
            <w:dataBinding w:prefixMappings="xmlns:ns0='http://purl.org/dc/elements/1.1/' xmlns:ns1='http://schemas.openxmlformats.org/package/2006/metadata/core-properties' " w:xpath="/ns1:coreProperties[1]/ns0:title[1]" w:storeItemID="{6C3C8BC8-F283-45AE-878A-BAB7291924A1}"/>
            <w:text/>
          </w:sdtPr>
          <w:sdtContent>
            <w:p w14:paraId="37165647" w14:textId="320DAE07" w:rsidR="00874E4B" w:rsidRPr="00BC03FA" w:rsidRDefault="00874E4B">
              <w:pPr>
                <w:pStyle w:val="Bezproreda"/>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lang w:val="hr-HR"/>
                </w:rPr>
              </w:pPr>
              <w:r w:rsidRPr="00BC03FA">
                <w:rPr>
                  <w:b/>
                  <w:sz w:val="28"/>
                  <w:szCs w:val="28"/>
                  <w:lang w:val="hr-HR" w:eastAsia="hr-HR"/>
                </w:rPr>
                <w:t>GODIŠNJI IZVJEŠTAJ O IZVRŠENJU PRORAČUNA MEĐIMURSKE ŽUPANIJE ZA 2024. GODINU</w:t>
              </w:r>
            </w:p>
          </w:sdtContent>
        </w:sdt>
        <w:sdt>
          <w:sdtPr>
            <w:rPr>
              <w:b/>
              <w:sz w:val="28"/>
              <w:szCs w:val="28"/>
              <w:lang w:val="hr-HR" w:eastAsia="hr-HR"/>
            </w:rPr>
            <w:alias w:val="Podnaslov"/>
            <w:tag w:val=""/>
            <w:id w:val="328029620"/>
            <w:placeholder>
              <w:docPart w:val="6A13E6B1819B45488793B3437BAECAD9"/>
            </w:placeholder>
            <w:dataBinding w:prefixMappings="xmlns:ns0='http://purl.org/dc/elements/1.1/' xmlns:ns1='http://schemas.openxmlformats.org/package/2006/metadata/core-properties' " w:xpath="/ns1:coreProperties[1]/ns0:subject[1]" w:storeItemID="{6C3C8BC8-F283-45AE-878A-BAB7291924A1}"/>
            <w:text/>
          </w:sdtPr>
          <w:sdtContent>
            <w:p w14:paraId="6EF8B629" w14:textId="57AEED73" w:rsidR="00874E4B" w:rsidRDefault="00874E4B" w:rsidP="00874E4B">
              <w:pPr>
                <w:pStyle w:val="Bezproreda"/>
                <w:jc w:val="center"/>
                <w:rPr>
                  <w:color w:val="5B9BD5" w:themeColor="accent1"/>
                  <w:sz w:val="28"/>
                  <w:szCs w:val="28"/>
                </w:rPr>
              </w:pPr>
              <w:r w:rsidRPr="00874E4B">
                <w:rPr>
                  <w:b/>
                  <w:sz w:val="28"/>
                  <w:szCs w:val="28"/>
                  <w:lang w:val="hr-HR" w:eastAsia="hr-HR"/>
                </w:rPr>
                <w:t>Obrazloženje</w:t>
              </w:r>
              <w:r>
                <w:rPr>
                  <w:b/>
                  <w:sz w:val="28"/>
                  <w:szCs w:val="28"/>
                  <w:lang w:val="hr-HR" w:eastAsia="hr-HR"/>
                </w:rPr>
                <w:t xml:space="preserve"> </w:t>
              </w:r>
              <w:r w:rsidRPr="00874E4B">
                <w:rPr>
                  <w:b/>
                  <w:sz w:val="28"/>
                  <w:szCs w:val="28"/>
                  <w:lang w:val="hr-HR" w:eastAsia="hr-HR"/>
                </w:rPr>
                <w:t>01. siječnja 2024. – 31. prosinca 2024. godine</w:t>
              </w:r>
            </w:p>
          </w:sdtContent>
        </w:sdt>
        <w:p w14:paraId="567130F7" w14:textId="4816EEA0" w:rsidR="00874E4B" w:rsidRDefault="00874E4B">
          <w:pPr>
            <w:pStyle w:val="Bezproreda"/>
            <w:spacing w:before="480"/>
            <w:jc w:val="center"/>
            <w:rPr>
              <w:color w:val="5B9BD5" w:themeColor="accent1"/>
            </w:rPr>
          </w:pPr>
        </w:p>
        <w:p w14:paraId="63AB7EB1" w14:textId="32CD4EB0" w:rsidR="00874E4B" w:rsidRDefault="00874E4B">
          <w:pPr>
            <w:spacing w:after="160" w:line="259" w:lineRule="auto"/>
            <w:rPr>
              <w:b/>
            </w:rPr>
          </w:pPr>
          <w:r>
            <w:rPr>
              <w:noProof/>
              <w:color w:val="5B9BD5" w:themeColor="accent1"/>
            </w:rPr>
            <mc:AlternateContent>
              <mc:Choice Requires="wps">
                <w:drawing>
                  <wp:anchor distT="0" distB="0" distL="114300" distR="114300" simplePos="0" relativeHeight="251659264" behindDoc="0" locked="0" layoutInCell="1" allowOverlap="1" wp14:anchorId="4C8CABE9" wp14:editId="077BCC58">
                    <wp:simplePos x="0" y="0"/>
                    <wp:positionH relativeFrom="margin">
                      <wp:align>right</wp:align>
                    </wp:positionH>
                    <wp:positionV relativeFrom="page">
                      <wp:posOffset>9420225</wp:posOffset>
                    </wp:positionV>
                    <wp:extent cx="6553200" cy="323850"/>
                    <wp:effectExtent l="0" t="0" r="14605" b="0"/>
                    <wp:wrapNone/>
                    <wp:docPr id="142" name="Tekstni okvir 146"/>
                    <wp:cNvGraphicFramePr/>
                    <a:graphic xmlns:a="http://schemas.openxmlformats.org/drawingml/2006/main">
                      <a:graphicData uri="http://schemas.microsoft.com/office/word/2010/wordprocessingShape">
                        <wps:wsp>
                          <wps:cNvSpPr txBox="1"/>
                          <wps:spPr>
                            <a:xfrm>
                              <a:off x="0" y="0"/>
                              <a:ext cx="655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um"/>
                                  <w:tag w:val=""/>
                                  <w:id w:val="197127006"/>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p w14:paraId="05D549D4" w14:textId="545E7255" w:rsidR="00874E4B" w:rsidRDefault="00BC03FA">
                                    <w:pPr>
                                      <w:pStyle w:val="Bezproreda"/>
                                      <w:spacing w:after="40"/>
                                      <w:jc w:val="center"/>
                                      <w:rPr>
                                        <w:caps/>
                                        <w:color w:val="5B9BD5" w:themeColor="accent1"/>
                                        <w:sz w:val="28"/>
                                        <w:szCs w:val="28"/>
                                      </w:rPr>
                                    </w:pPr>
                                    <w:r>
                                      <w:rPr>
                                        <w:lang w:val="hr-HR"/>
                                      </w:rPr>
                                      <w:t>svibnja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C8CABE9" id="_x0000_t202" coordsize="21600,21600" o:spt="202" path="m,l,21600r21600,l21600,xe">
                    <v:stroke joinstyle="miter"/>
                    <v:path gradientshapeok="t" o:connecttype="rect"/>
                  </v:shapetype>
                  <v:shape id="Tekstni okvir 146" o:spid="_x0000_s1026" type="#_x0000_t202" style="position:absolute;margin-left:464.8pt;margin-top:741.75pt;width:516pt;height:25.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" filled="f" stroked="f" strokeweight=".5pt">
                    <v:textbox inset="0,0,0,0">
                      <w:txbxContent>
                        <w:sdt>
                          <w:sdtPr>
                            <w:alias w:val="Datum"/>
                            <w:tag w:val=""/>
                            <w:id w:val="197127006"/>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p w14:paraId="05D549D4" w14:textId="545E7255" w:rsidR="00874E4B" w:rsidRDefault="00BC03FA">
                              <w:pPr>
                                <w:pStyle w:val="Bezproreda"/>
                                <w:spacing w:after="40"/>
                                <w:jc w:val="center"/>
                                <w:rPr>
                                  <w:caps/>
                                  <w:color w:val="5B9BD5" w:themeColor="accent1"/>
                                  <w:sz w:val="28"/>
                                  <w:szCs w:val="28"/>
                                </w:rPr>
                              </w:pPr>
                              <w:r>
                                <w:rPr>
                                  <w:lang w:val="hr-HR"/>
                                </w:rPr>
                                <w:t>svibnja 2025.</w:t>
                              </w:r>
                            </w:p>
                          </w:sdtContent>
                        </w:sdt>
                      </w:txbxContent>
                    </v:textbox>
                    <w10:wrap anchorx="margin" anchory="page"/>
                  </v:shape>
                </w:pict>
              </mc:Fallback>
            </mc:AlternateContent>
          </w:r>
          <w:r>
            <w:rPr>
              <w:b/>
            </w:rPr>
            <w:br w:type="page"/>
          </w:r>
        </w:p>
      </w:sdtContent>
    </w:sdt>
    <w:p w14:paraId="4B287F9D" w14:textId="77777777" w:rsidR="008E77F5" w:rsidRDefault="008E77F5" w:rsidP="008E77F5">
      <w:pPr>
        <w:jc w:val="center"/>
        <w:rPr>
          <w:b/>
        </w:rPr>
      </w:pPr>
    </w:p>
    <w:p w14:paraId="452827A3" w14:textId="77777777" w:rsidR="008E77F5" w:rsidRDefault="008E77F5" w:rsidP="008E77F5">
      <w:pPr>
        <w:jc w:val="center"/>
        <w:rPr>
          <w:b/>
        </w:rPr>
      </w:pPr>
    </w:p>
    <w:p w14:paraId="06ECC141" w14:textId="77777777" w:rsidR="00066E01" w:rsidRPr="00874E4B" w:rsidRDefault="00066E01" w:rsidP="00874E4B">
      <w:pPr>
        <w:jc w:val="both"/>
        <w:rPr>
          <w:b/>
          <w:noProof/>
        </w:rPr>
      </w:pPr>
    </w:p>
    <w:p w14:paraId="25919C8F" w14:textId="77777777" w:rsidR="00AB06D4" w:rsidRDefault="00AB06D4" w:rsidP="00066E01">
      <w:pPr>
        <w:pStyle w:val="Odlomakpopisa"/>
        <w:ind w:left="1065"/>
        <w:jc w:val="both"/>
        <w:rPr>
          <w:b/>
          <w:noProof/>
        </w:rPr>
      </w:pPr>
    </w:p>
    <w:p w14:paraId="43BE8626" w14:textId="77777777" w:rsidR="008C65AE" w:rsidRDefault="00423952" w:rsidP="008C65AE">
      <w:pPr>
        <w:pStyle w:val="Odlomakpopisa"/>
        <w:numPr>
          <w:ilvl w:val="0"/>
          <w:numId w:val="2"/>
        </w:numPr>
        <w:jc w:val="both"/>
        <w:rPr>
          <w:b/>
          <w:noProof/>
        </w:rPr>
      </w:pPr>
      <w:r w:rsidRPr="00423952">
        <w:rPr>
          <w:b/>
          <w:noProof/>
        </w:rPr>
        <w:t>UVODNI DIO</w:t>
      </w:r>
    </w:p>
    <w:p w14:paraId="7F2D27BB" w14:textId="77777777" w:rsidR="000B7C91" w:rsidRDefault="000B7C91" w:rsidP="000B7C91">
      <w:pPr>
        <w:pStyle w:val="Odlomakpopisa"/>
        <w:ind w:left="284"/>
        <w:jc w:val="both"/>
        <w:rPr>
          <w:noProof/>
        </w:rPr>
      </w:pPr>
    </w:p>
    <w:p w14:paraId="025A3F87" w14:textId="6D52E6D2" w:rsidR="00761C81" w:rsidRDefault="00761C81" w:rsidP="000B7C91">
      <w:pPr>
        <w:pStyle w:val="Odlomakpopisa"/>
        <w:ind w:left="284"/>
        <w:jc w:val="both"/>
        <w:rPr>
          <w:noProof/>
        </w:rPr>
      </w:pPr>
      <w:r>
        <w:rPr>
          <w:noProof/>
        </w:rPr>
        <w:tab/>
      </w:r>
      <w:r w:rsidR="000B7C91">
        <w:rPr>
          <w:noProof/>
        </w:rPr>
        <w:t>Obveza sastavljanja godišnjeg</w:t>
      </w:r>
      <w:r w:rsidR="0062287E">
        <w:rPr>
          <w:noProof/>
        </w:rPr>
        <w:t xml:space="preserve"> </w:t>
      </w:r>
      <w:r w:rsidR="000B7C91">
        <w:rPr>
          <w:noProof/>
        </w:rPr>
        <w:t>izvještaja o izvršenju proračuna te njegovo podnošenje predstavničkom tijelu i donošenje od strane predstavničkog tijela jedinice lokalne i područne (regionalne) samouprave</w:t>
      </w:r>
      <w:r w:rsidR="000B7C91" w:rsidRPr="00423952">
        <w:rPr>
          <w:noProof/>
        </w:rPr>
        <w:t xml:space="preserve"> </w:t>
      </w:r>
      <w:r w:rsidR="000B7C91">
        <w:rPr>
          <w:noProof/>
        </w:rPr>
        <w:t xml:space="preserve">propisana je odredbama </w:t>
      </w:r>
      <w:r w:rsidR="00410690">
        <w:rPr>
          <w:noProof/>
        </w:rPr>
        <w:t xml:space="preserve">čl. 89. </w:t>
      </w:r>
      <w:r w:rsidR="000B7C91">
        <w:rPr>
          <w:noProof/>
        </w:rPr>
        <w:t xml:space="preserve">Zakona o proračunu („Narodne novine“ broj </w:t>
      </w:r>
      <w:r w:rsidR="00393B9D">
        <w:rPr>
          <w:noProof/>
        </w:rPr>
        <w:t>144/21</w:t>
      </w:r>
      <w:r w:rsidR="00E9182C">
        <w:rPr>
          <w:noProof/>
        </w:rPr>
        <w:t>).</w:t>
      </w:r>
      <w:r w:rsidR="002B4038">
        <w:rPr>
          <w:noProof/>
        </w:rPr>
        <w:t xml:space="preserve"> </w:t>
      </w:r>
    </w:p>
    <w:p w14:paraId="51DB433C" w14:textId="4110074D" w:rsidR="000B7C91" w:rsidRDefault="00761C81" w:rsidP="000B7C91">
      <w:pPr>
        <w:pStyle w:val="Odlomakpopisa"/>
        <w:ind w:left="284"/>
        <w:jc w:val="both"/>
        <w:rPr>
          <w:noProof/>
        </w:rPr>
      </w:pPr>
      <w:r>
        <w:rPr>
          <w:noProof/>
        </w:rPr>
        <w:tab/>
      </w:r>
      <w:r w:rsidR="000B7C91">
        <w:rPr>
          <w:noProof/>
        </w:rPr>
        <w:t>Sadržaj godišnjeg izvještaja o p</w:t>
      </w:r>
      <w:r w:rsidR="00393B9D">
        <w:rPr>
          <w:noProof/>
        </w:rPr>
        <w:t>roračunu definiran je člankom 1</w:t>
      </w:r>
      <w:r w:rsidR="006A4B43">
        <w:rPr>
          <w:noProof/>
        </w:rPr>
        <w:t>68</w:t>
      </w:r>
      <w:r w:rsidR="000B7C91">
        <w:rPr>
          <w:noProof/>
        </w:rPr>
        <w:t>. Zakona o proračunu</w:t>
      </w:r>
      <w:r w:rsidR="00410690">
        <w:rPr>
          <w:noProof/>
        </w:rPr>
        <w:t xml:space="preserve"> (Narodne novine br. </w:t>
      </w:r>
      <w:r w:rsidR="006A4B43">
        <w:rPr>
          <w:noProof/>
        </w:rPr>
        <w:t>144/21</w:t>
      </w:r>
      <w:r w:rsidR="00410690">
        <w:rPr>
          <w:noProof/>
        </w:rPr>
        <w:t>)</w:t>
      </w:r>
      <w:r w:rsidR="000B7C91">
        <w:rPr>
          <w:noProof/>
        </w:rPr>
        <w:t xml:space="preserve"> i člankom 4. Pravilnika o polugodišnjem i godišnjem izvještaju o izvršenju proračuna</w:t>
      </w:r>
      <w:r w:rsidR="002B4038">
        <w:rPr>
          <w:noProof/>
        </w:rPr>
        <w:t xml:space="preserve"> i financijskog plana („Narodne novine“ broj 85/23) </w:t>
      </w:r>
      <w:r w:rsidR="00410690">
        <w:rPr>
          <w:noProof/>
        </w:rPr>
        <w:t xml:space="preserve"> te</w:t>
      </w:r>
      <w:r w:rsidR="000B7C91">
        <w:rPr>
          <w:noProof/>
        </w:rPr>
        <w:t xml:space="preserve"> sadrži:</w:t>
      </w:r>
    </w:p>
    <w:p w14:paraId="63AF311B" w14:textId="77777777" w:rsidR="000B7C91" w:rsidRDefault="000B7C91" w:rsidP="000B7C91">
      <w:pPr>
        <w:pStyle w:val="Odlomakpopisa"/>
        <w:numPr>
          <w:ilvl w:val="0"/>
          <w:numId w:val="3"/>
        </w:numPr>
        <w:jc w:val="both"/>
        <w:rPr>
          <w:noProof/>
        </w:rPr>
      </w:pPr>
      <w:r>
        <w:rPr>
          <w:noProof/>
        </w:rPr>
        <w:t>opći dio proračuna sastavljen od Računa prihoda i rashoda i Računa financiranja na razini odjeljka ekonomske klasifikacije,</w:t>
      </w:r>
    </w:p>
    <w:p w14:paraId="52FBD09E" w14:textId="77777777" w:rsidR="000B7C91" w:rsidRDefault="000B7C91" w:rsidP="000B7C91">
      <w:pPr>
        <w:pStyle w:val="Odlomakpopisa"/>
        <w:numPr>
          <w:ilvl w:val="0"/>
          <w:numId w:val="3"/>
        </w:numPr>
        <w:jc w:val="both"/>
        <w:rPr>
          <w:noProof/>
        </w:rPr>
      </w:pPr>
      <w:r>
        <w:rPr>
          <w:noProof/>
        </w:rPr>
        <w:t xml:space="preserve">posebni dio proračuna po organizacijskoj i programskoj klasifikaciji te </w:t>
      </w:r>
      <w:r w:rsidRPr="00700B2A">
        <w:rPr>
          <w:noProof/>
        </w:rPr>
        <w:t>razini odjeljka ekonomske klasifikacije</w:t>
      </w:r>
    </w:p>
    <w:p w14:paraId="7D584D4B" w14:textId="77777777" w:rsidR="002B4038" w:rsidRDefault="0062287E" w:rsidP="002B4038">
      <w:pPr>
        <w:pStyle w:val="Odlomakpopisa"/>
        <w:numPr>
          <w:ilvl w:val="0"/>
          <w:numId w:val="3"/>
        </w:numPr>
        <w:jc w:val="both"/>
        <w:rPr>
          <w:noProof/>
        </w:rPr>
      </w:pPr>
      <w:r>
        <w:rPr>
          <w:noProof/>
        </w:rPr>
        <w:t>izvještaj o korištenju proračunske zalihe,</w:t>
      </w:r>
      <w:r w:rsidR="002B4038" w:rsidRPr="002B4038">
        <w:rPr>
          <w:noProof/>
        </w:rPr>
        <w:t xml:space="preserve"> </w:t>
      </w:r>
    </w:p>
    <w:p w14:paraId="2637D37A" w14:textId="29F80D9F" w:rsidR="0062287E" w:rsidRDefault="002B4038" w:rsidP="002B4038">
      <w:pPr>
        <w:pStyle w:val="Odlomakpopisa"/>
        <w:numPr>
          <w:ilvl w:val="0"/>
          <w:numId w:val="3"/>
        </w:numPr>
        <w:jc w:val="both"/>
        <w:rPr>
          <w:noProof/>
        </w:rPr>
      </w:pPr>
      <w:r>
        <w:rPr>
          <w:noProof/>
        </w:rPr>
        <w:t>izvještaj o zaduživanju na domaćem i stranom tržištu novca i kapitala,</w:t>
      </w:r>
    </w:p>
    <w:p w14:paraId="46B8B9F3" w14:textId="77777777" w:rsidR="0062287E" w:rsidRDefault="0062287E" w:rsidP="0062287E">
      <w:pPr>
        <w:pStyle w:val="Odlomakpopisa"/>
        <w:numPr>
          <w:ilvl w:val="0"/>
          <w:numId w:val="3"/>
        </w:numPr>
        <w:jc w:val="both"/>
        <w:rPr>
          <w:noProof/>
        </w:rPr>
      </w:pPr>
      <w:r>
        <w:rPr>
          <w:noProof/>
        </w:rPr>
        <w:t>izvještaj o danim jamstvima i izdacima po jamstvima,</w:t>
      </w:r>
    </w:p>
    <w:p w14:paraId="2E669750" w14:textId="3FD1C03B" w:rsidR="002B4038" w:rsidRDefault="002B4038" w:rsidP="0062287E">
      <w:pPr>
        <w:pStyle w:val="Odlomakpopisa"/>
        <w:numPr>
          <w:ilvl w:val="0"/>
          <w:numId w:val="3"/>
        </w:numPr>
        <w:jc w:val="both"/>
        <w:rPr>
          <w:noProof/>
        </w:rPr>
      </w:pPr>
      <w:r>
        <w:rPr>
          <w:noProof/>
        </w:rPr>
        <w:t>izvještaj o korištenju sredstava Europske unije</w:t>
      </w:r>
    </w:p>
    <w:p w14:paraId="5E4FD763" w14:textId="214F97F8" w:rsidR="002B4038" w:rsidRDefault="00143152" w:rsidP="0062287E">
      <w:pPr>
        <w:pStyle w:val="Odlomakpopisa"/>
        <w:numPr>
          <w:ilvl w:val="0"/>
          <w:numId w:val="3"/>
        </w:numPr>
        <w:jc w:val="both"/>
        <w:rPr>
          <w:noProof/>
        </w:rPr>
      </w:pPr>
      <w:r>
        <w:rPr>
          <w:noProof/>
        </w:rPr>
        <w:t>i</w:t>
      </w:r>
      <w:r w:rsidR="002B4038">
        <w:rPr>
          <w:noProof/>
        </w:rPr>
        <w:t>zvještaj o danim zajmovima i potraživanjima po danim zajmovima</w:t>
      </w:r>
    </w:p>
    <w:p w14:paraId="16434B4C" w14:textId="05767391" w:rsidR="002B4038" w:rsidRDefault="00E9182C" w:rsidP="0062287E">
      <w:pPr>
        <w:pStyle w:val="Odlomakpopisa"/>
        <w:numPr>
          <w:ilvl w:val="0"/>
          <w:numId w:val="3"/>
        </w:numPr>
        <w:jc w:val="both"/>
        <w:rPr>
          <w:noProof/>
        </w:rPr>
      </w:pPr>
      <w:r>
        <w:rPr>
          <w:noProof/>
        </w:rPr>
        <w:t>izvještaj o stanju potraživanja i dospjelih obveza te stanju potencijalnih obveza po osnovi sudskih sporova</w:t>
      </w:r>
    </w:p>
    <w:p w14:paraId="37C275D2" w14:textId="7C10DD9F" w:rsidR="00E122E7" w:rsidRDefault="00E122E7" w:rsidP="00E122E7">
      <w:pPr>
        <w:pStyle w:val="Odlomakpopisa"/>
        <w:numPr>
          <w:ilvl w:val="0"/>
          <w:numId w:val="3"/>
        </w:numPr>
        <w:jc w:val="both"/>
        <w:rPr>
          <w:noProof/>
        </w:rPr>
      </w:pPr>
      <w:r>
        <w:rPr>
          <w:noProof/>
        </w:rPr>
        <w:t>obrazloženje ostvarenih prihoda i primitaka te rashoda i izdataka</w:t>
      </w:r>
      <w:r w:rsidR="00E9182C">
        <w:rPr>
          <w:noProof/>
        </w:rPr>
        <w:t xml:space="preserve"> (opći i posebni dio)</w:t>
      </w:r>
    </w:p>
    <w:p w14:paraId="3A2ECB43" w14:textId="77777777" w:rsidR="000B7C91" w:rsidRDefault="000B7C91" w:rsidP="000B7C91">
      <w:pPr>
        <w:pStyle w:val="Odlomakpopisa"/>
        <w:ind w:left="1065"/>
        <w:jc w:val="both"/>
        <w:rPr>
          <w:b/>
          <w:noProof/>
        </w:rPr>
      </w:pPr>
    </w:p>
    <w:p w14:paraId="3038983E" w14:textId="77777777" w:rsidR="000B7C91" w:rsidRPr="008C65AE" w:rsidRDefault="000B7C91" w:rsidP="008C65AE">
      <w:pPr>
        <w:pStyle w:val="Odlomakpopisa"/>
        <w:numPr>
          <w:ilvl w:val="0"/>
          <w:numId w:val="2"/>
        </w:numPr>
        <w:jc w:val="both"/>
        <w:rPr>
          <w:b/>
          <w:noProof/>
        </w:rPr>
      </w:pPr>
      <w:r>
        <w:rPr>
          <w:b/>
          <w:noProof/>
        </w:rPr>
        <w:t>OPĆI DIO PRORAČUNA</w:t>
      </w:r>
    </w:p>
    <w:p w14:paraId="06354045" w14:textId="77777777" w:rsidR="00003734" w:rsidRDefault="00003734" w:rsidP="00003734">
      <w:pPr>
        <w:pStyle w:val="Odlomakpopisa"/>
        <w:ind w:left="284"/>
        <w:jc w:val="both"/>
        <w:rPr>
          <w:noProof/>
        </w:rPr>
      </w:pPr>
    </w:p>
    <w:p w14:paraId="3030B3F4" w14:textId="4FD3DD8E" w:rsidR="00BB3D04" w:rsidRDefault="00BB3D04" w:rsidP="00BB3D04">
      <w:pPr>
        <w:pStyle w:val="Odlomakpopisa"/>
        <w:ind w:left="284"/>
        <w:jc w:val="both"/>
        <w:rPr>
          <w:noProof/>
        </w:rPr>
      </w:pPr>
      <w:r>
        <w:rPr>
          <w:noProof/>
        </w:rPr>
        <w:t>Proračun za 202</w:t>
      </w:r>
      <w:r w:rsidR="00974527">
        <w:rPr>
          <w:noProof/>
        </w:rPr>
        <w:t>4</w:t>
      </w:r>
      <w:r>
        <w:rPr>
          <w:noProof/>
        </w:rPr>
        <w:t>. godinu i projekcije za 202</w:t>
      </w:r>
      <w:r w:rsidR="00974527">
        <w:rPr>
          <w:noProof/>
        </w:rPr>
        <w:t>5</w:t>
      </w:r>
      <w:r>
        <w:rPr>
          <w:noProof/>
        </w:rPr>
        <w:t>. i 202</w:t>
      </w:r>
      <w:r w:rsidR="00974527">
        <w:rPr>
          <w:noProof/>
        </w:rPr>
        <w:t>6</w:t>
      </w:r>
      <w:r>
        <w:rPr>
          <w:noProof/>
        </w:rPr>
        <w:t>. godinu donijela je Skupština Međimurske županije na 1</w:t>
      </w:r>
      <w:r w:rsidR="00985981">
        <w:rPr>
          <w:noProof/>
        </w:rPr>
        <w:t>5</w:t>
      </w:r>
      <w:r>
        <w:rPr>
          <w:noProof/>
        </w:rPr>
        <w:t xml:space="preserve">. sjednici održanoj </w:t>
      </w:r>
      <w:r w:rsidR="00985981">
        <w:rPr>
          <w:noProof/>
        </w:rPr>
        <w:t>21</w:t>
      </w:r>
      <w:r>
        <w:rPr>
          <w:noProof/>
        </w:rPr>
        <w:t>. prosinca 202</w:t>
      </w:r>
      <w:r w:rsidR="00985981">
        <w:rPr>
          <w:noProof/>
        </w:rPr>
        <w:t>3</w:t>
      </w:r>
      <w:r>
        <w:rPr>
          <w:noProof/>
        </w:rPr>
        <w:t xml:space="preserve">. godine. </w:t>
      </w:r>
      <w:r w:rsidR="001A53E2">
        <w:rPr>
          <w:noProof/>
        </w:rPr>
        <w:t>Prve Izmjene i dopune proračuna donesene su na 1</w:t>
      </w:r>
      <w:r w:rsidR="00985981">
        <w:rPr>
          <w:noProof/>
        </w:rPr>
        <w:t>8</w:t>
      </w:r>
      <w:r w:rsidR="001A53E2">
        <w:rPr>
          <w:noProof/>
        </w:rPr>
        <w:t xml:space="preserve">. sjednici </w:t>
      </w:r>
      <w:r w:rsidR="00985981">
        <w:rPr>
          <w:noProof/>
        </w:rPr>
        <w:t>20</w:t>
      </w:r>
      <w:r w:rsidR="001A53E2">
        <w:rPr>
          <w:noProof/>
        </w:rPr>
        <w:t xml:space="preserve">. </w:t>
      </w:r>
      <w:r w:rsidR="00985981">
        <w:rPr>
          <w:noProof/>
        </w:rPr>
        <w:t>lipnja</w:t>
      </w:r>
      <w:r w:rsidR="001A53E2">
        <w:rPr>
          <w:noProof/>
        </w:rPr>
        <w:t xml:space="preserve"> 202</w:t>
      </w:r>
      <w:r w:rsidR="00985981">
        <w:rPr>
          <w:noProof/>
        </w:rPr>
        <w:t>4</w:t>
      </w:r>
      <w:r w:rsidR="001A53E2">
        <w:rPr>
          <w:noProof/>
        </w:rPr>
        <w:t xml:space="preserve">. godine dok su druge Izmjene i dopune proračuna donesene na </w:t>
      </w:r>
      <w:r w:rsidR="00985981">
        <w:rPr>
          <w:noProof/>
        </w:rPr>
        <w:t>20</w:t>
      </w:r>
      <w:r w:rsidR="001A53E2">
        <w:rPr>
          <w:noProof/>
        </w:rPr>
        <w:t xml:space="preserve">. sjednici održanoj </w:t>
      </w:r>
      <w:r w:rsidR="00985981">
        <w:rPr>
          <w:noProof/>
        </w:rPr>
        <w:t>12</w:t>
      </w:r>
      <w:r w:rsidR="001A53E2">
        <w:rPr>
          <w:noProof/>
        </w:rPr>
        <w:t>. prosinca 202</w:t>
      </w:r>
      <w:r w:rsidR="00985981">
        <w:rPr>
          <w:noProof/>
        </w:rPr>
        <w:t>4</w:t>
      </w:r>
      <w:r w:rsidR="001A53E2">
        <w:rPr>
          <w:noProof/>
        </w:rPr>
        <w:t>. godine.</w:t>
      </w:r>
    </w:p>
    <w:p w14:paraId="3E490749" w14:textId="03E9DFA5" w:rsidR="001A53E2" w:rsidRDefault="001A53E2" w:rsidP="00BB3D04">
      <w:pPr>
        <w:pStyle w:val="Odlomakpopisa"/>
        <w:ind w:left="284"/>
        <w:jc w:val="both"/>
        <w:rPr>
          <w:noProof/>
        </w:rPr>
      </w:pPr>
      <w:r>
        <w:rPr>
          <w:noProof/>
        </w:rPr>
        <w:t xml:space="preserve">Drugim izmjenama i dopunama proračuna sveukupni prihodi i primici planirani su u iznosu od </w:t>
      </w:r>
      <w:r w:rsidR="00985981">
        <w:rPr>
          <w:noProof/>
        </w:rPr>
        <w:t>101.409.589,21</w:t>
      </w:r>
      <w:r>
        <w:rPr>
          <w:noProof/>
        </w:rPr>
        <w:t xml:space="preserve"> eura te </w:t>
      </w:r>
      <w:r w:rsidR="00985981">
        <w:rPr>
          <w:noProof/>
        </w:rPr>
        <w:t>je</w:t>
      </w:r>
      <w:r>
        <w:rPr>
          <w:noProof/>
        </w:rPr>
        <w:t xml:space="preserve"> planirani </w:t>
      </w:r>
      <w:r w:rsidR="00985981">
        <w:rPr>
          <w:noProof/>
        </w:rPr>
        <w:t xml:space="preserve">višak </w:t>
      </w:r>
      <w:r>
        <w:rPr>
          <w:noProof/>
        </w:rPr>
        <w:t xml:space="preserve">u iznosu od </w:t>
      </w:r>
      <w:r w:rsidR="00985981">
        <w:rPr>
          <w:noProof/>
        </w:rPr>
        <w:t>52.130,79</w:t>
      </w:r>
      <w:r>
        <w:rPr>
          <w:noProof/>
        </w:rPr>
        <w:t xml:space="preserve"> eura </w:t>
      </w:r>
      <w:r w:rsidR="00985981">
        <w:rPr>
          <w:noProof/>
        </w:rPr>
        <w:t>dok se</w:t>
      </w:r>
      <w:r>
        <w:rPr>
          <w:noProof/>
        </w:rPr>
        <w:t xml:space="preserve"> za rashode i izdatke  </w:t>
      </w:r>
      <w:r w:rsidR="00985981">
        <w:rPr>
          <w:noProof/>
        </w:rPr>
        <w:t xml:space="preserve">planirao </w:t>
      </w:r>
      <w:r>
        <w:rPr>
          <w:noProof/>
        </w:rPr>
        <w:t>iznos od 1</w:t>
      </w:r>
      <w:r w:rsidR="00985981">
        <w:rPr>
          <w:noProof/>
        </w:rPr>
        <w:t>01.461.720,00</w:t>
      </w:r>
      <w:r>
        <w:rPr>
          <w:noProof/>
        </w:rPr>
        <w:t xml:space="preserve"> eura.</w:t>
      </w:r>
    </w:p>
    <w:p w14:paraId="4557E8EC" w14:textId="0F3CCE58" w:rsidR="00BB3D04" w:rsidRDefault="00BB3D04" w:rsidP="00BB3D04">
      <w:pPr>
        <w:pStyle w:val="Odlomakpopisa"/>
        <w:ind w:left="284"/>
        <w:jc w:val="both"/>
        <w:rPr>
          <w:noProof/>
        </w:rPr>
      </w:pPr>
      <w:r>
        <w:rPr>
          <w:noProof/>
        </w:rPr>
        <w:t>Opći dio ovog Izvještaja o izvršenju sadrži izvorni plan budući da nije bilo izvršenih preraspodjela. Sukladno proračunskim propisima, Izvještaj o izvršenju sadrži sve prihode i rashode Međimurske županije i njenih proračunskih korisnika.</w:t>
      </w:r>
    </w:p>
    <w:p w14:paraId="4C289DE5" w14:textId="28630785" w:rsidR="00003734" w:rsidRDefault="00003734" w:rsidP="002319F5">
      <w:pPr>
        <w:pStyle w:val="Odlomakpopisa"/>
        <w:ind w:left="284"/>
        <w:jc w:val="both"/>
        <w:rPr>
          <w:noProof/>
        </w:rPr>
      </w:pPr>
      <w:r w:rsidRPr="006D4800">
        <w:rPr>
          <w:noProof/>
        </w:rPr>
        <w:t xml:space="preserve">U nastavku slijedi sažetak A. Računa prihoda i rashoda i </w:t>
      </w:r>
      <w:r w:rsidR="002319F5" w:rsidRPr="006D4800">
        <w:rPr>
          <w:noProof/>
        </w:rPr>
        <w:t>B. Računa financiranja na razini razreda</w:t>
      </w:r>
      <w:r w:rsidR="00BC1AA5" w:rsidRPr="006D4800">
        <w:rPr>
          <w:noProof/>
        </w:rPr>
        <w:t xml:space="preserve"> ekonomske klasifikacije za </w:t>
      </w:r>
      <w:r w:rsidR="002319F5" w:rsidRPr="006D4800">
        <w:rPr>
          <w:noProof/>
        </w:rPr>
        <w:t>godišnje razdoblje 202</w:t>
      </w:r>
      <w:r w:rsidR="00985981">
        <w:rPr>
          <w:noProof/>
        </w:rPr>
        <w:t>4</w:t>
      </w:r>
      <w:r w:rsidR="002319F5" w:rsidRPr="006D4800">
        <w:rPr>
          <w:noProof/>
        </w:rPr>
        <w:t xml:space="preserve">. </w:t>
      </w:r>
      <w:r w:rsidR="002319F5" w:rsidRPr="00CA2AE5">
        <w:rPr>
          <w:noProof/>
        </w:rPr>
        <w:t>godine:</w:t>
      </w:r>
    </w:p>
    <w:p w14:paraId="53ECBF51" w14:textId="5BA796C6" w:rsidR="00066EBA" w:rsidRDefault="00CA2AE5" w:rsidP="002319F5">
      <w:pPr>
        <w:pStyle w:val="Odlomakpopisa"/>
        <w:ind w:left="284"/>
        <w:jc w:val="both"/>
        <w:rPr>
          <w:noProof/>
        </w:rPr>
      </w:pPr>
      <w:r>
        <w:rPr>
          <w:noProof/>
        </w:rPr>
        <w:lastRenderedPageBreak/>
        <w:drawing>
          <wp:inline distT="0" distB="0" distL="0" distR="0" wp14:anchorId="47501AD9" wp14:editId="37F11CAC">
            <wp:extent cx="5981700" cy="2362200"/>
            <wp:effectExtent l="0" t="0" r="0" b="0"/>
            <wp:docPr id="12969083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08349" name=""/>
                    <pic:cNvPicPr/>
                  </pic:nvPicPr>
                  <pic:blipFill>
                    <a:blip r:embed="rId10"/>
                    <a:stretch>
                      <a:fillRect/>
                    </a:stretch>
                  </pic:blipFill>
                  <pic:spPr>
                    <a:xfrm>
                      <a:off x="0" y="0"/>
                      <a:ext cx="5981700" cy="2362200"/>
                    </a:xfrm>
                    <a:prstGeom prst="rect">
                      <a:avLst/>
                    </a:prstGeom>
                  </pic:spPr>
                </pic:pic>
              </a:graphicData>
            </a:graphic>
          </wp:inline>
        </w:drawing>
      </w:r>
    </w:p>
    <w:p w14:paraId="4D3E3561" w14:textId="11BC92A8" w:rsidR="006D4800" w:rsidRDefault="006D4800" w:rsidP="002319F5">
      <w:pPr>
        <w:pStyle w:val="Odlomakpopisa"/>
        <w:ind w:left="284"/>
        <w:jc w:val="both"/>
        <w:rPr>
          <w:noProof/>
        </w:rPr>
      </w:pPr>
    </w:p>
    <w:p w14:paraId="6692A640" w14:textId="7005AE2D" w:rsidR="006D4800" w:rsidRDefault="006D4800" w:rsidP="002319F5">
      <w:pPr>
        <w:pStyle w:val="Odlomakpopisa"/>
        <w:ind w:left="284"/>
        <w:jc w:val="both"/>
        <w:rPr>
          <w:noProof/>
        </w:rPr>
      </w:pPr>
    </w:p>
    <w:p w14:paraId="50CCFFC0" w14:textId="77777777" w:rsidR="00F64121" w:rsidRDefault="00F64121" w:rsidP="002319F5">
      <w:pPr>
        <w:pStyle w:val="Odlomakpopisa"/>
        <w:ind w:left="0"/>
        <w:jc w:val="both"/>
        <w:rPr>
          <w:noProof/>
        </w:rPr>
      </w:pPr>
    </w:p>
    <w:p w14:paraId="10BA1CC1" w14:textId="3E7CB91D" w:rsidR="00EA6121" w:rsidRPr="00EA6121" w:rsidRDefault="00EA6121" w:rsidP="00EA6121">
      <w:pPr>
        <w:tabs>
          <w:tab w:val="left" w:pos="1041"/>
          <w:tab w:val="left" w:pos="7253"/>
          <w:tab w:val="left" w:pos="10955"/>
        </w:tabs>
        <w:spacing w:before="240"/>
        <w:jc w:val="both"/>
        <w:rPr>
          <w:sz w:val="22"/>
          <w:szCs w:val="22"/>
        </w:rPr>
      </w:pPr>
      <w:r w:rsidRPr="00EA6121">
        <w:rPr>
          <w:sz w:val="22"/>
          <w:szCs w:val="22"/>
        </w:rPr>
        <w:t xml:space="preserve">U konsolidiranom financijskom izvještaju za 2024. godinu ostvarenje u izvještajnom razdoblju prethodne godine obuhvaća prihode i rashode Županijske bolnice Čakovec te je </w:t>
      </w:r>
      <w:r w:rsidR="00813D9D">
        <w:rPr>
          <w:sz w:val="22"/>
          <w:szCs w:val="22"/>
        </w:rPr>
        <w:t xml:space="preserve">stvarnu </w:t>
      </w:r>
      <w:r w:rsidRPr="00EA6121">
        <w:rPr>
          <w:sz w:val="22"/>
          <w:szCs w:val="22"/>
        </w:rPr>
        <w:t>usporedivost u odnosu na prethodno razdoblje potrebno promatrati</w:t>
      </w:r>
      <w:r w:rsidR="00813D9D">
        <w:rPr>
          <w:sz w:val="22"/>
          <w:szCs w:val="22"/>
        </w:rPr>
        <w:t xml:space="preserve"> isključujući podatke Županijske bolnice Čakovec</w:t>
      </w:r>
      <w:r w:rsidRPr="00EA6121">
        <w:rPr>
          <w:sz w:val="22"/>
          <w:szCs w:val="22"/>
        </w:rPr>
        <w:t>. Ukupni prihodi i primici prethodnog razdoblja koji ne uključuju Županijsku bolnicu Čakovec iznose 86.628.954,00 eura dok su ukupni rashodi i izdaci</w:t>
      </w:r>
      <w:r>
        <w:rPr>
          <w:sz w:val="22"/>
          <w:szCs w:val="22"/>
        </w:rPr>
        <w:t xml:space="preserve"> bez Županijske bolnice Čakovec</w:t>
      </w:r>
      <w:r w:rsidRPr="00EA6121">
        <w:rPr>
          <w:sz w:val="22"/>
          <w:szCs w:val="22"/>
        </w:rPr>
        <w:t xml:space="preserve"> prikazani </w:t>
      </w:r>
      <w:r>
        <w:rPr>
          <w:sz w:val="22"/>
          <w:szCs w:val="22"/>
        </w:rPr>
        <w:t xml:space="preserve">za prethodno razdoblje </w:t>
      </w:r>
      <w:r w:rsidRPr="00EA6121">
        <w:rPr>
          <w:sz w:val="22"/>
          <w:szCs w:val="22"/>
        </w:rPr>
        <w:t xml:space="preserve">u iznosu od 85.240.871,37 eura. </w:t>
      </w:r>
    </w:p>
    <w:p w14:paraId="7BA67141" w14:textId="77777777" w:rsidR="00D27D16" w:rsidRDefault="00D27D16" w:rsidP="002270B0">
      <w:pPr>
        <w:pStyle w:val="Odlomakpopisa"/>
        <w:spacing w:after="160" w:line="259" w:lineRule="auto"/>
        <w:ind w:left="0"/>
        <w:jc w:val="both"/>
        <w:rPr>
          <w:b/>
          <w:sz w:val="22"/>
          <w:szCs w:val="22"/>
        </w:rPr>
      </w:pPr>
    </w:p>
    <w:p w14:paraId="733090D6" w14:textId="0BDEC133" w:rsidR="00EA6121" w:rsidRDefault="002270B0" w:rsidP="002270B0">
      <w:pPr>
        <w:pStyle w:val="Odlomakpopisa"/>
        <w:spacing w:after="160" w:line="259" w:lineRule="auto"/>
        <w:ind w:left="0"/>
        <w:jc w:val="both"/>
        <w:rPr>
          <w:sz w:val="22"/>
          <w:szCs w:val="22"/>
        </w:rPr>
      </w:pPr>
      <w:r w:rsidRPr="009642E5">
        <w:rPr>
          <w:b/>
          <w:sz w:val="22"/>
          <w:szCs w:val="22"/>
        </w:rPr>
        <w:t>Prihodi poslovanja</w:t>
      </w:r>
      <w:r w:rsidRPr="009642E5">
        <w:rPr>
          <w:sz w:val="22"/>
          <w:szCs w:val="22"/>
        </w:rPr>
        <w:t xml:space="preserve"> iznose </w:t>
      </w:r>
      <w:r w:rsidR="00CA2AE5">
        <w:rPr>
          <w:sz w:val="22"/>
          <w:szCs w:val="22"/>
        </w:rPr>
        <w:t>98.034.598,</w:t>
      </w:r>
      <w:r w:rsidR="00383604">
        <w:rPr>
          <w:sz w:val="22"/>
          <w:szCs w:val="22"/>
        </w:rPr>
        <w:t xml:space="preserve">40 </w:t>
      </w:r>
      <w:r w:rsidR="00066EBA" w:rsidRPr="009642E5">
        <w:rPr>
          <w:sz w:val="22"/>
          <w:szCs w:val="22"/>
        </w:rPr>
        <w:t>eura</w:t>
      </w:r>
      <w:r w:rsidRPr="009642E5">
        <w:rPr>
          <w:sz w:val="22"/>
          <w:szCs w:val="22"/>
        </w:rPr>
        <w:t xml:space="preserve"> i predstavljaju </w:t>
      </w:r>
      <w:r w:rsidR="00383604">
        <w:rPr>
          <w:sz w:val="22"/>
          <w:szCs w:val="22"/>
        </w:rPr>
        <w:t>98</w:t>
      </w:r>
      <w:r w:rsidR="00066EBA" w:rsidRPr="009642E5">
        <w:rPr>
          <w:sz w:val="22"/>
          <w:szCs w:val="22"/>
        </w:rPr>
        <w:t>,</w:t>
      </w:r>
      <w:r w:rsidR="00383604">
        <w:rPr>
          <w:sz w:val="22"/>
          <w:szCs w:val="22"/>
        </w:rPr>
        <w:t>87</w:t>
      </w:r>
      <w:r w:rsidRPr="009642E5">
        <w:rPr>
          <w:sz w:val="22"/>
          <w:szCs w:val="22"/>
        </w:rPr>
        <w:t xml:space="preserve">% ostvarenog plana, a </w:t>
      </w:r>
      <w:r w:rsidR="00383604">
        <w:rPr>
          <w:sz w:val="22"/>
          <w:szCs w:val="22"/>
        </w:rPr>
        <w:t>manji</w:t>
      </w:r>
      <w:r w:rsidRPr="009642E5">
        <w:rPr>
          <w:sz w:val="22"/>
          <w:szCs w:val="22"/>
        </w:rPr>
        <w:t xml:space="preserve"> su u odnosu na prethodnu godinu za </w:t>
      </w:r>
      <w:r w:rsidR="00383604">
        <w:rPr>
          <w:sz w:val="22"/>
          <w:szCs w:val="22"/>
        </w:rPr>
        <w:t>25,43</w:t>
      </w:r>
      <w:r w:rsidR="006D4800" w:rsidRPr="009642E5">
        <w:rPr>
          <w:sz w:val="22"/>
          <w:szCs w:val="22"/>
        </w:rPr>
        <w:t>%</w:t>
      </w:r>
      <w:r w:rsidR="00136BD6" w:rsidRPr="009642E5">
        <w:rPr>
          <w:sz w:val="22"/>
          <w:szCs w:val="22"/>
        </w:rPr>
        <w:t>.</w:t>
      </w:r>
      <w:r w:rsidRPr="009642E5">
        <w:rPr>
          <w:sz w:val="22"/>
          <w:szCs w:val="22"/>
        </w:rPr>
        <w:t xml:space="preserve"> Prihodi od </w:t>
      </w:r>
      <w:r w:rsidR="006D4800" w:rsidRPr="009642E5">
        <w:rPr>
          <w:sz w:val="22"/>
          <w:szCs w:val="22"/>
        </w:rPr>
        <w:t xml:space="preserve">prodaje </w:t>
      </w:r>
      <w:r w:rsidRPr="009642E5">
        <w:rPr>
          <w:sz w:val="22"/>
          <w:szCs w:val="22"/>
        </w:rPr>
        <w:t xml:space="preserve">nefinancijske imovine iznose </w:t>
      </w:r>
      <w:r w:rsidR="00383604">
        <w:rPr>
          <w:sz w:val="22"/>
          <w:szCs w:val="22"/>
        </w:rPr>
        <w:t xml:space="preserve">1.974.994,18 </w:t>
      </w:r>
      <w:r w:rsidR="002A5FFA" w:rsidRPr="009642E5">
        <w:rPr>
          <w:sz w:val="22"/>
          <w:szCs w:val="22"/>
        </w:rPr>
        <w:t xml:space="preserve"> eura</w:t>
      </w:r>
      <w:r w:rsidRPr="009642E5">
        <w:rPr>
          <w:sz w:val="22"/>
          <w:szCs w:val="22"/>
        </w:rPr>
        <w:t xml:space="preserve"> i ostvareni su </w:t>
      </w:r>
      <w:r w:rsidR="00383604">
        <w:rPr>
          <w:sz w:val="22"/>
          <w:szCs w:val="22"/>
        </w:rPr>
        <w:t>97,94</w:t>
      </w:r>
      <w:r w:rsidR="006D4800" w:rsidRPr="009642E5">
        <w:rPr>
          <w:sz w:val="22"/>
          <w:szCs w:val="22"/>
        </w:rPr>
        <w:t>%</w:t>
      </w:r>
      <w:r w:rsidRPr="009642E5">
        <w:rPr>
          <w:sz w:val="22"/>
          <w:szCs w:val="22"/>
        </w:rPr>
        <w:t xml:space="preserve"> u odnosu na plan, a </w:t>
      </w:r>
      <w:r w:rsidR="00383604">
        <w:rPr>
          <w:sz w:val="22"/>
          <w:szCs w:val="22"/>
        </w:rPr>
        <w:t xml:space="preserve">značajno su povećani u odnosu </w:t>
      </w:r>
      <w:r w:rsidRPr="009642E5">
        <w:rPr>
          <w:sz w:val="22"/>
          <w:szCs w:val="22"/>
        </w:rPr>
        <w:t>na prethodnu godinu (kapitalizacija imovine</w:t>
      </w:r>
      <w:r w:rsidR="00383604">
        <w:rPr>
          <w:sz w:val="22"/>
          <w:szCs w:val="22"/>
        </w:rPr>
        <w:t xml:space="preserve"> kod Međimurske županije</w:t>
      </w:r>
      <w:r w:rsidRPr="009642E5">
        <w:rPr>
          <w:sz w:val="22"/>
          <w:szCs w:val="22"/>
        </w:rPr>
        <w:t xml:space="preserve">).  </w:t>
      </w:r>
      <w:r w:rsidRPr="009642E5">
        <w:rPr>
          <w:b/>
          <w:sz w:val="22"/>
          <w:szCs w:val="22"/>
        </w:rPr>
        <w:t>Primici</w:t>
      </w:r>
      <w:r w:rsidRPr="009642E5">
        <w:rPr>
          <w:sz w:val="22"/>
          <w:szCs w:val="22"/>
        </w:rPr>
        <w:t xml:space="preserve"> su</w:t>
      </w:r>
      <w:r w:rsidRPr="002270B0">
        <w:rPr>
          <w:sz w:val="22"/>
          <w:szCs w:val="22"/>
        </w:rPr>
        <w:t xml:space="preserve"> ostvareni u visini od </w:t>
      </w:r>
      <w:r w:rsidR="00383604">
        <w:rPr>
          <w:sz w:val="22"/>
          <w:szCs w:val="22"/>
        </w:rPr>
        <w:t>470.748,90</w:t>
      </w:r>
      <w:r w:rsidR="002A5FFA">
        <w:rPr>
          <w:sz w:val="22"/>
          <w:szCs w:val="22"/>
        </w:rPr>
        <w:t xml:space="preserve"> eura</w:t>
      </w:r>
      <w:r w:rsidRPr="002270B0">
        <w:rPr>
          <w:sz w:val="22"/>
          <w:szCs w:val="22"/>
        </w:rPr>
        <w:t xml:space="preserve">, </w:t>
      </w:r>
      <w:r w:rsidR="00383604">
        <w:rPr>
          <w:sz w:val="22"/>
          <w:szCs w:val="22"/>
        </w:rPr>
        <w:t>360,51</w:t>
      </w:r>
      <w:r w:rsidRPr="002270B0">
        <w:rPr>
          <w:sz w:val="22"/>
          <w:szCs w:val="22"/>
        </w:rPr>
        <w:t xml:space="preserve">% u odnosu na prethodnu godinu, a </w:t>
      </w:r>
      <w:r w:rsidR="00383604">
        <w:rPr>
          <w:sz w:val="22"/>
          <w:szCs w:val="22"/>
        </w:rPr>
        <w:t>198,95</w:t>
      </w:r>
      <w:r w:rsidRPr="002270B0">
        <w:rPr>
          <w:sz w:val="22"/>
          <w:szCs w:val="22"/>
        </w:rPr>
        <w:t xml:space="preserve">% u odnosu na izvorni plan. </w:t>
      </w:r>
    </w:p>
    <w:p w14:paraId="637C5C70" w14:textId="70E55E7E" w:rsidR="002270B0" w:rsidRPr="00EA6121" w:rsidRDefault="002270B0" w:rsidP="002270B0">
      <w:pPr>
        <w:pStyle w:val="Odlomakpopisa"/>
        <w:spacing w:after="160" w:line="259" w:lineRule="auto"/>
        <w:ind w:left="0"/>
        <w:jc w:val="both"/>
        <w:rPr>
          <w:bCs/>
          <w:sz w:val="22"/>
          <w:szCs w:val="22"/>
        </w:rPr>
      </w:pPr>
      <w:r w:rsidRPr="00EA6121">
        <w:rPr>
          <w:b/>
          <w:bCs/>
          <w:sz w:val="22"/>
          <w:szCs w:val="22"/>
        </w:rPr>
        <w:t>Ukupno prihodi i primici konsolidiranog proračuna</w:t>
      </w:r>
      <w:r w:rsidRPr="002270B0">
        <w:rPr>
          <w:sz w:val="22"/>
          <w:szCs w:val="22"/>
        </w:rPr>
        <w:t xml:space="preserve"> stoga iznose </w:t>
      </w:r>
      <w:r w:rsidR="00383604">
        <w:rPr>
          <w:b/>
          <w:sz w:val="22"/>
          <w:szCs w:val="22"/>
        </w:rPr>
        <w:t>100.480.341,48</w:t>
      </w:r>
      <w:r w:rsidR="001724A1">
        <w:rPr>
          <w:b/>
          <w:sz w:val="22"/>
          <w:szCs w:val="22"/>
        </w:rPr>
        <w:t xml:space="preserve"> eura</w:t>
      </w:r>
      <w:r w:rsidR="00EA6121">
        <w:rPr>
          <w:b/>
          <w:sz w:val="22"/>
          <w:szCs w:val="22"/>
        </w:rPr>
        <w:t xml:space="preserve"> </w:t>
      </w:r>
      <w:r w:rsidR="00EA6121" w:rsidRPr="00EA6121">
        <w:rPr>
          <w:bCs/>
          <w:sz w:val="22"/>
          <w:szCs w:val="22"/>
        </w:rPr>
        <w:t>što je</w:t>
      </w:r>
      <w:r w:rsidR="000A15BE">
        <w:rPr>
          <w:bCs/>
          <w:sz w:val="22"/>
          <w:szCs w:val="22"/>
        </w:rPr>
        <w:t xml:space="preserve"> 76% ostvarenja u odnosu na prethodnu godinu koja sadrži i prihode i primitke Županijske bolnice Čakovec, ali</w:t>
      </w:r>
      <w:r w:rsidR="00EA6121" w:rsidRPr="00EA6121">
        <w:rPr>
          <w:bCs/>
          <w:sz w:val="22"/>
          <w:szCs w:val="22"/>
        </w:rPr>
        <w:t xml:space="preserve"> 1</w:t>
      </w:r>
      <w:r w:rsidR="000A15BE">
        <w:rPr>
          <w:bCs/>
          <w:sz w:val="22"/>
          <w:szCs w:val="22"/>
        </w:rPr>
        <w:t>6</w:t>
      </w:r>
      <w:r w:rsidR="00EA6121" w:rsidRPr="00EA6121">
        <w:rPr>
          <w:bCs/>
          <w:sz w:val="22"/>
          <w:szCs w:val="22"/>
        </w:rPr>
        <w:t xml:space="preserve">% </w:t>
      </w:r>
      <w:r w:rsidR="000A15BE">
        <w:rPr>
          <w:bCs/>
          <w:sz w:val="22"/>
          <w:szCs w:val="22"/>
        </w:rPr>
        <w:t>više</w:t>
      </w:r>
      <w:r w:rsidR="00EA6121" w:rsidRPr="00EA6121">
        <w:rPr>
          <w:bCs/>
          <w:sz w:val="22"/>
          <w:szCs w:val="22"/>
        </w:rPr>
        <w:t xml:space="preserve"> u odnosu na prethodno razdoblje ukoliko iz prethodnog razdoblja izuzmemo prihode i primitke Županijske bolnice Čakovec</w:t>
      </w:r>
      <w:r w:rsidR="00EA6121">
        <w:rPr>
          <w:bCs/>
          <w:sz w:val="22"/>
          <w:szCs w:val="22"/>
        </w:rPr>
        <w:t xml:space="preserve"> (prethodna godina bez Županijske bolnice Čakovec – 86.628.954,00 eura)</w:t>
      </w:r>
      <w:r w:rsidRPr="00EA6121">
        <w:rPr>
          <w:bCs/>
          <w:sz w:val="22"/>
          <w:szCs w:val="22"/>
        </w:rPr>
        <w:t>.</w:t>
      </w:r>
    </w:p>
    <w:p w14:paraId="15386E14" w14:textId="77777777" w:rsidR="00EA6121" w:rsidRDefault="00EA6121" w:rsidP="002270B0">
      <w:pPr>
        <w:pStyle w:val="Odlomakpopisa"/>
        <w:spacing w:after="160" w:line="259" w:lineRule="auto"/>
        <w:ind w:left="0"/>
        <w:jc w:val="both"/>
        <w:rPr>
          <w:b/>
          <w:sz w:val="22"/>
          <w:szCs w:val="22"/>
        </w:rPr>
      </w:pPr>
    </w:p>
    <w:p w14:paraId="6167886D" w14:textId="64831E90" w:rsidR="00EA6121" w:rsidRDefault="002270B0" w:rsidP="002270B0">
      <w:pPr>
        <w:pStyle w:val="Odlomakpopisa"/>
        <w:spacing w:after="160" w:line="259" w:lineRule="auto"/>
        <w:ind w:left="0"/>
        <w:jc w:val="both"/>
        <w:rPr>
          <w:sz w:val="22"/>
          <w:szCs w:val="22"/>
        </w:rPr>
      </w:pPr>
      <w:r w:rsidRPr="002270B0">
        <w:rPr>
          <w:b/>
          <w:sz w:val="22"/>
          <w:szCs w:val="22"/>
        </w:rPr>
        <w:t>Rashodi poslovanja</w:t>
      </w:r>
      <w:r w:rsidRPr="002270B0">
        <w:rPr>
          <w:sz w:val="22"/>
          <w:szCs w:val="22"/>
        </w:rPr>
        <w:t xml:space="preserve"> iznose</w:t>
      </w:r>
      <w:r w:rsidR="001724A1">
        <w:rPr>
          <w:sz w:val="22"/>
          <w:szCs w:val="22"/>
        </w:rPr>
        <w:t xml:space="preserve"> </w:t>
      </w:r>
      <w:r w:rsidR="00383604">
        <w:rPr>
          <w:sz w:val="22"/>
          <w:szCs w:val="22"/>
        </w:rPr>
        <w:t>90.109.653,17</w:t>
      </w:r>
      <w:r w:rsidR="001724A1">
        <w:rPr>
          <w:sz w:val="22"/>
          <w:szCs w:val="22"/>
        </w:rPr>
        <w:t xml:space="preserve"> eura</w:t>
      </w:r>
      <w:r w:rsidRPr="002270B0">
        <w:rPr>
          <w:sz w:val="22"/>
          <w:szCs w:val="22"/>
        </w:rPr>
        <w:t xml:space="preserve">, </w:t>
      </w:r>
      <w:r w:rsidR="00383604">
        <w:rPr>
          <w:sz w:val="22"/>
          <w:szCs w:val="22"/>
        </w:rPr>
        <w:t>97,56</w:t>
      </w:r>
      <w:r w:rsidRPr="002270B0">
        <w:rPr>
          <w:sz w:val="22"/>
          <w:szCs w:val="22"/>
        </w:rPr>
        <w:t xml:space="preserve">% u odnosu na plan, a </w:t>
      </w:r>
      <w:r w:rsidR="001724A1">
        <w:rPr>
          <w:sz w:val="22"/>
          <w:szCs w:val="22"/>
        </w:rPr>
        <w:t xml:space="preserve">za </w:t>
      </w:r>
      <w:r w:rsidR="00383604">
        <w:rPr>
          <w:sz w:val="22"/>
          <w:szCs w:val="22"/>
        </w:rPr>
        <w:t>23,55</w:t>
      </w:r>
      <w:r w:rsidR="001724A1">
        <w:rPr>
          <w:sz w:val="22"/>
          <w:szCs w:val="22"/>
        </w:rPr>
        <w:t>%</w:t>
      </w:r>
      <w:r w:rsidRPr="002270B0">
        <w:rPr>
          <w:sz w:val="22"/>
          <w:szCs w:val="22"/>
        </w:rPr>
        <w:t xml:space="preserve"> su </w:t>
      </w:r>
      <w:r w:rsidR="00383604">
        <w:rPr>
          <w:sz w:val="22"/>
          <w:szCs w:val="22"/>
        </w:rPr>
        <w:t>manji</w:t>
      </w:r>
      <w:r w:rsidRPr="002270B0">
        <w:rPr>
          <w:sz w:val="22"/>
          <w:szCs w:val="22"/>
        </w:rPr>
        <w:t xml:space="preserve"> u odnosu na prethodnu godinu. Rashodi za nabavu nefinancijske imovine iznose </w:t>
      </w:r>
      <w:r w:rsidR="00EA6121">
        <w:rPr>
          <w:sz w:val="22"/>
          <w:szCs w:val="22"/>
        </w:rPr>
        <w:t>5.791.596,89</w:t>
      </w:r>
      <w:r w:rsidR="001724A1">
        <w:rPr>
          <w:sz w:val="22"/>
          <w:szCs w:val="22"/>
        </w:rPr>
        <w:t xml:space="preserve"> eura</w:t>
      </w:r>
      <w:r w:rsidRPr="002270B0">
        <w:rPr>
          <w:sz w:val="22"/>
          <w:szCs w:val="22"/>
        </w:rPr>
        <w:t xml:space="preserve"> i </w:t>
      </w:r>
      <w:r w:rsidR="0060140D">
        <w:rPr>
          <w:sz w:val="22"/>
          <w:szCs w:val="22"/>
        </w:rPr>
        <w:t>manji</w:t>
      </w:r>
      <w:r w:rsidRPr="002270B0">
        <w:rPr>
          <w:sz w:val="22"/>
          <w:szCs w:val="22"/>
        </w:rPr>
        <w:t xml:space="preserve"> su za </w:t>
      </w:r>
      <w:r w:rsidR="00EA6121">
        <w:rPr>
          <w:sz w:val="22"/>
          <w:szCs w:val="22"/>
        </w:rPr>
        <w:t>19,91</w:t>
      </w:r>
      <w:r w:rsidRPr="002270B0">
        <w:rPr>
          <w:sz w:val="22"/>
          <w:szCs w:val="22"/>
        </w:rPr>
        <w:t>% u odnosu na plan</w:t>
      </w:r>
      <w:r w:rsidR="0060140D">
        <w:rPr>
          <w:sz w:val="22"/>
          <w:szCs w:val="22"/>
        </w:rPr>
        <w:t xml:space="preserve">, </w:t>
      </w:r>
      <w:r w:rsidR="00EA6121">
        <w:rPr>
          <w:sz w:val="22"/>
          <w:szCs w:val="22"/>
        </w:rPr>
        <w:t>i</w:t>
      </w:r>
      <w:r w:rsidR="0060140D">
        <w:rPr>
          <w:sz w:val="22"/>
          <w:szCs w:val="22"/>
        </w:rPr>
        <w:t xml:space="preserve"> </w:t>
      </w:r>
      <w:r w:rsidR="00EA6121">
        <w:rPr>
          <w:sz w:val="22"/>
          <w:szCs w:val="22"/>
        </w:rPr>
        <w:t>53</w:t>
      </w:r>
      <w:r w:rsidR="001724A1">
        <w:rPr>
          <w:sz w:val="22"/>
          <w:szCs w:val="22"/>
        </w:rPr>
        <w:t>,</w:t>
      </w:r>
      <w:r w:rsidR="00EA6121">
        <w:rPr>
          <w:sz w:val="22"/>
          <w:szCs w:val="22"/>
        </w:rPr>
        <w:t>47</w:t>
      </w:r>
      <w:r w:rsidR="0060140D">
        <w:rPr>
          <w:sz w:val="22"/>
          <w:szCs w:val="22"/>
        </w:rPr>
        <w:t>% u odnosu na prethodnu godinu</w:t>
      </w:r>
      <w:r w:rsidRPr="002270B0">
        <w:rPr>
          <w:sz w:val="22"/>
          <w:szCs w:val="22"/>
        </w:rPr>
        <w:t xml:space="preserve">. </w:t>
      </w:r>
      <w:r w:rsidRPr="002270B0">
        <w:rPr>
          <w:b/>
          <w:sz w:val="22"/>
          <w:szCs w:val="22"/>
        </w:rPr>
        <w:t>Izdaci</w:t>
      </w:r>
      <w:r w:rsidRPr="002270B0">
        <w:rPr>
          <w:sz w:val="22"/>
          <w:szCs w:val="22"/>
        </w:rPr>
        <w:t xml:space="preserve"> za financijsku imovinu i otplatu zajmova iznose </w:t>
      </w:r>
      <w:r w:rsidR="00EA6121">
        <w:rPr>
          <w:sz w:val="22"/>
          <w:szCs w:val="22"/>
        </w:rPr>
        <w:t>1.855.608,07</w:t>
      </w:r>
      <w:r w:rsidR="001724A1">
        <w:rPr>
          <w:sz w:val="22"/>
          <w:szCs w:val="22"/>
        </w:rPr>
        <w:t xml:space="preserve"> eura</w:t>
      </w:r>
      <w:r w:rsidRPr="002270B0">
        <w:rPr>
          <w:sz w:val="22"/>
          <w:szCs w:val="22"/>
        </w:rPr>
        <w:t xml:space="preserve"> i ostvareni su u visini </w:t>
      </w:r>
      <w:r w:rsidR="00EA6121">
        <w:rPr>
          <w:sz w:val="22"/>
          <w:szCs w:val="22"/>
        </w:rPr>
        <w:t>99,43</w:t>
      </w:r>
      <w:r w:rsidRPr="002270B0">
        <w:rPr>
          <w:sz w:val="22"/>
          <w:szCs w:val="22"/>
        </w:rPr>
        <w:t>% u odnosu na plan</w:t>
      </w:r>
      <w:r w:rsidR="0060140D">
        <w:rPr>
          <w:sz w:val="22"/>
          <w:szCs w:val="22"/>
        </w:rPr>
        <w:t xml:space="preserve">, </w:t>
      </w:r>
      <w:r w:rsidR="00EA6121">
        <w:rPr>
          <w:sz w:val="22"/>
          <w:szCs w:val="22"/>
        </w:rPr>
        <w:t>i veći</w:t>
      </w:r>
      <w:r w:rsidR="009642E5">
        <w:rPr>
          <w:sz w:val="22"/>
          <w:szCs w:val="22"/>
        </w:rPr>
        <w:t xml:space="preserve"> </w:t>
      </w:r>
      <w:r w:rsidR="00EA6121">
        <w:rPr>
          <w:sz w:val="22"/>
          <w:szCs w:val="22"/>
        </w:rPr>
        <w:t>za 48,94</w:t>
      </w:r>
      <w:r w:rsidR="0060140D">
        <w:rPr>
          <w:sz w:val="22"/>
          <w:szCs w:val="22"/>
        </w:rPr>
        <w:t>% u odnosu na prethodnu godinu</w:t>
      </w:r>
      <w:r w:rsidRPr="002270B0">
        <w:rPr>
          <w:sz w:val="22"/>
          <w:szCs w:val="22"/>
        </w:rPr>
        <w:t xml:space="preserve">. </w:t>
      </w:r>
    </w:p>
    <w:p w14:paraId="34F31FE9" w14:textId="774FC1F1" w:rsidR="002270B0" w:rsidRDefault="002270B0" w:rsidP="002270B0">
      <w:pPr>
        <w:pStyle w:val="Odlomakpopisa"/>
        <w:spacing w:after="160" w:line="259" w:lineRule="auto"/>
        <w:ind w:left="0"/>
        <w:jc w:val="both"/>
        <w:rPr>
          <w:sz w:val="22"/>
          <w:szCs w:val="22"/>
        </w:rPr>
      </w:pPr>
      <w:r w:rsidRPr="00EA6121">
        <w:rPr>
          <w:b/>
          <w:bCs/>
          <w:sz w:val="22"/>
          <w:szCs w:val="22"/>
        </w:rPr>
        <w:t>Sveukupno rashodi i izdaci u konsolidiranom proračunu</w:t>
      </w:r>
      <w:r w:rsidRPr="002270B0">
        <w:rPr>
          <w:sz w:val="22"/>
          <w:szCs w:val="22"/>
        </w:rPr>
        <w:t xml:space="preserve"> iznose </w:t>
      </w:r>
      <w:r w:rsidR="00EA6121">
        <w:rPr>
          <w:b/>
          <w:sz w:val="22"/>
          <w:szCs w:val="22"/>
        </w:rPr>
        <w:t>97.756.858,13</w:t>
      </w:r>
      <w:r w:rsidRPr="002270B0">
        <w:rPr>
          <w:sz w:val="22"/>
          <w:szCs w:val="22"/>
        </w:rPr>
        <w:t xml:space="preserve"> </w:t>
      </w:r>
      <w:r w:rsidR="009642E5">
        <w:rPr>
          <w:sz w:val="22"/>
          <w:szCs w:val="22"/>
        </w:rPr>
        <w:t>eura što je 9</w:t>
      </w:r>
      <w:r w:rsidR="00EA6121">
        <w:rPr>
          <w:sz w:val="22"/>
          <w:szCs w:val="22"/>
        </w:rPr>
        <w:t>6,35</w:t>
      </w:r>
      <w:r w:rsidR="009642E5">
        <w:rPr>
          <w:sz w:val="22"/>
          <w:szCs w:val="22"/>
        </w:rPr>
        <w:t>% u odnosu na plan</w:t>
      </w:r>
      <w:r w:rsidR="00EA6121">
        <w:rPr>
          <w:sz w:val="22"/>
          <w:szCs w:val="22"/>
        </w:rPr>
        <w:t xml:space="preserve"> i </w:t>
      </w:r>
      <w:r w:rsidR="006F62E1">
        <w:rPr>
          <w:sz w:val="22"/>
          <w:szCs w:val="22"/>
        </w:rPr>
        <w:t xml:space="preserve">74% </w:t>
      </w:r>
      <w:r w:rsidR="00A11CC3">
        <w:rPr>
          <w:sz w:val="22"/>
          <w:szCs w:val="22"/>
        </w:rPr>
        <w:t xml:space="preserve">u </w:t>
      </w:r>
      <w:r w:rsidR="00EA6121">
        <w:rPr>
          <w:sz w:val="22"/>
          <w:szCs w:val="22"/>
        </w:rPr>
        <w:t>odnosu na prethodnu godinu</w:t>
      </w:r>
      <w:r w:rsidR="006F62E1">
        <w:rPr>
          <w:sz w:val="22"/>
          <w:szCs w:val="22"/>
        </w:rPr>
        <w:t xml:space="preserve"> koja sadrži rashode i izdatke Županijske bolnice Čakovec, a</w:t>
      </w:r>
      <w:r w:rsidR="00EA6121">
        <w:rPr>
          <w:sz w:val="22"/>
          <w:szCs w:val="22"/>
        </w:rPr>
        <w:t xml:space="preserve"> za 1</w:t>
      </w:r>
      <w:r w:rsidR="006F62E1">
        <w:rPr>
          <w:sz w:val="22"/>
          <w:szCs w:val="22"/>
        </w:rPr>
        <w:t>5</w:t>
      </w:r>
      <w:r w:rsidR="00EA6121">
        <w:rPr>
          <w:sz w:val="22"/>
          <w:szCs w:val="22"/>
        </w:rPr>
        <w:t xml:space="preserve">% </w:t>
      </w:r>
      <w:r w:rsidR="006F62E1">
        <w:rPr>
          <w:sz w:val="22"/>
          <w:szCs w:val="22"/>
        </w:rPr>
        <w:t xml:space="preserve">su veći </w:t>
      </w:r>
      <w:r w:rsidR="00EA6121">
        <w:rPr>
          <w:sz w:val="22"/>
          <w:szCs w:val="22"/>
        </w:rPr>
        <w:t xml:space="preserve">ukoliko iz prethodne godine izuzmemo rashode i izdatke Županijske bolnice Čakovec (prethodna godina bez Županijske bolnice Čakovec – 85.240.871,37 eura). </w:t>
      </w:r>
    </w:p>
    <w:p w14:paraId="1DBEC5C4" w14:textId="77777777" w:rsidR="006F62E1" w:rsidRDefault="006F62E1" w:rsidP="002270B0">
      <w:pPr>
        <w:pStyle w:val="Odlomakpopisa"/>
        <w:spacing w:after="160" w:line="259" w:lineRule="auto"/>
        <w:ind w:left="0"/>
        <w:jc w:val="both"/>
        <w:rPr>
          <w:sz w:val="22"/>
          <w:szCs w:val="22"/>
        </w:rPr>
      </w:pPr>
    </w:p>
    <w:p w14:paraId="6E1C04B5" w14:textId="16E67921" w:rsidR="002270B0" w:rsidRPr="002270B0" w:rsidRDefault="002270B0" w:rsidP="002270B0">
      <w:pPr>
        <w:pStyle w:val="Odlomakpopisa"/>
        <w:spacing w:after="160" w:line="259" w:lineRule="auto"/>
        <w:ind w:left="0"/>
        <w:jc w:val="both"/>
        <w:rPr>
          <w:sz w:val="22"/>
          <w:szCs w:val="22"/>
        </w:rPr>
      </w:pPr>
      <w:r w:rsidRPr="002270B0">
        <w:rPr>
          <w:sz w:val="22"/>
          <w:szCs w:val="22"/>
        </w:rPr>
        <w:t>Ostvaren je pozitivan tekući rezultat 202</w:t>
      </w:r>
      <w:r w:rsidR="006F62E1">
        <w:rPr>
          <w:sz w:val="22"/>
          <w:szCs w:val="22"/>
        </w:rPr>
        <w:t>4</w:t>
      </w:r>
      <w:r w:rsidRPr="002270B0">
        <w:rPr>
          <w:sz w:val="22"/>
          <w:szCs w:val="22"/>
        </w:rPr>
        <w:t xml:space="preserve">. godine u iznosu od </w:t>
      </w:r>
      <w:r w:rsidR="006F62E1">
        <w:rPr>
          <w:sz w:val="22"/>
          <w:szCs w:val="22"/>
        </w:rPr>
        <w:t>2.723.483,35</w:t>
      </w:r>
      <w:r w:rsidR="009642E5">
        <w:rPr>
          <w:sz w:val="22"/>
          <w:szCs w:val="22"/>
        </w:rPr>
        <w:t xml:space="preserve"> eura</w:t>
      </w:r>
      <w:r w:rsidRPr="002270B0">
        <w:rPr>
          <w:sz w:val="22"/>
          <w:szCs w:val="22"/>
        </w:rPr>
        <w:t xml:space="preserve">, </w:t>
      </w:r>
      <w:r w:rsidR="006F62E1">
        <w:rPr>
          <w:sz w:val="22"/>
          <w:szCs w:val="22"/>
        </w:rPr>
        <w:t>te</w:t>
      </w:r>
      <w:r w:rsidR="00D27D16">
        <w:rPr>
          <w:sz w:val="22"/>
          <w:szCs w:val="22"/>
        </w:rPr>
        <w:t xml:space="preserve"> s</w:t>
      </w:r>
      <w:r w:rsidR="006F62E1">
        <w:rPr>
          <w:sz w:val="22"/>
          <w:szCs w:val="22"/>
        </w:rPr>
        <w:t xml:space="preserve"> prenesenim rezultatom iz prethodnih</w:t>
      </w:r>
      <w:r w:rsidRPr="002270B0">
        <w:rPr>
          <w:sz w:val="22"/>
          <w:szCs w:val="22"/>
        </w:rPr>
        <w:t xml:space="preserve"> obračunskih razdoblja</w:t>
      </w:r>
      <w:r w:rsidR="006F62E1">
        <w:rPr>
          <w:sz w:val="22"/>
          <w:szCs w:val="22"/>
        </w:rPr>
        <w:t xml:space="preserve"> (višak od 1.373.778,64 eura)</w:t>
      </w:r>
      <w:r w:rsidRPr="002270B0">
        <w:rPr>
          <w:sz w:val="22"/>
          <w:szCs w:val="22"/>
        </w:rPr>
        <w:t xml:space="preserve"> rezultat konsolidiranog proračuna </w:t>
      </w:r>
      <w:r w:rsidR="006F62E1">
        <w:rPr>
          <w:sz w:val="22"/>
          <w:szCs w:val="22"/>
        </w:rPr>
        <w:t xml:space="preserve">predstavlja višak od 4.097.261,99 eura. U prethodnom razdoblju </w:t>
      </w:r>
      <w:r w:rsidR="005A0F4D">
        <w:rPr>
          <w:sz w:val="22"/>
          <w:szCs w:val="22"/>
        </w:rPr>
        <w:t xml:space="preserve">negativno </w:t>
      </w:r>
      <w:r w:rsidR="006F62E1">
        <w:rPr>
          <w:sz w:val="22"/>
          <w:szCs w:val="22"/>
        </w:rPr>
        <w:t xml:space="preserve">ostvarenje rezultata u velikom je dijelu pripadalo Županijskoj bolnici Čakovec (manjak od </w:t>
      </w:r>
      <w:r w:rsidR="005A0F4D">
        <w:rPr>
          <w:sz w:val="22"/>
          <w:szCs w:val="22"/>
        </w:rPr>
        <w:t>8.555.096,16 eura).</w:t>
      </w:r>
    </w:p>
    <w:p w14:paraId="43ED9681" w14:textId="0E2E4D98" w:rsidR="005A0F4D" w:rsidRDefault="005A0F4D">
      <w:pPr>
        <w:spacing w:after="160" w:line="259" w:lineRule="auto"/>
        <w:rPr>
          <w:i/>
          <w:noProof/>
        </w:rPr>
      </w:pPr>
      <w:r>
        <w:rPr>
          <w:i/>
          <w:noProof/>
        </w:rPr>
        <w:br w:type="page"/>
      </w:r>
    </w:p>
    <w:p w14:paraId="216374AC" w14:textId="77777777" w:rsidR="0016248E" w:rsidRDefault="0016248E" w:rsidP="002319F5">
      <w:pPr>
        <w:pStyle w:val="Odlomakpopisa"/>
        <w:ind w:left="0"/>
        <w:jc w:val="both"/>
        <w:rPr>
          <w:i/>
          <w:noProof/>
        </w:rPr>
      </w:pPr>
    </w:p>
    <w:p w14:paraId="63C18963" w14:textId="49D03309" w:rsidR="0060140D" w:rsidRDefault="002319F5" w:rsidP="002319F5">
      <w:pPr>
        <w:pStyle w:val="Odlomakpopisa"/>
        <w:ind w:left="0"/>
        <w:jc w:val="both"/>
        <w:rPr>
          <w:i/>
          <w:noProof/>
        </w:rPr>
      </w:pPr>
      <w:r w:rsidRPr="002270B0">
        <w:rPr>
          <w:i/>
          <w:noProof/>
        </w:rPr>
        <w:t>Rezultat</w:t>
      </w:r>
      <w:r w:rsidR="00110B56" w:rsidRPr="002270B0">
        <w:rPr>
          <w:i/>
          <w:noProof/>
        </w:rPr>
        <w:t xml:space="preserve"> Međimurske županije i svakog p</w:t>
      </w:r>
      <w:r w:rsidRPr="002270B0">
        <w:rPr>
          <w:i/>
          <w:noProof/>
        </w:rPr>
        <w:t>ojedinog proračunskog korisnika prika</w:t>
      </w:r>
      <w:r w:rsidR="00D957CB" w:rsidRPr="002270B0">
        <w:rPr>
          <w:i/>
          <w:noProof/>
        </w:rPr>
        <w:t>zuje</w:t>
      </w:r>
      <w:r w:rsidRPr="002270B0">
        <w:rPr>
          <w:i/>
          <w:noProof/>
        </w:rPr>
        <w:t xml:space="preserve"> tabela:</w:t>
      </w:r>
    </w:p>
    <w:p w14:paraId="12C0982C" w14:textId="6B8A2E66" w:rsidR="00D6545A" w:rsidRPr="005A0F4D" w:rsidRDefault="005A0F4D" w:rsidP="002319F5">
      <w:pPr>
        <w:pStyle w:val="Odlomakpopisa"/>
        <w:ind w:left="0"/>
        <w:jc w:val="both"/>
        <w:rPr>
          <w:iCs/>
          <w:noProof/>
        </w:rPr>
      </w:pPr>
      <w:r>
        <w:rPr>
          <w:iCs/>
          <w:noProof/>
        </w:rPr>
        <w:drawing>
          <wp:inline distT="0" distB="0" distL="0" distR="0" wp14:anchorId="1684D86F" wp14:editId="7C244EDF">
            <wp:extent cx="5362575" cy="8515350"/>
            <wp:effectExtent l="0" t="0" r="9525" b="0"/>
            <wp:docPr id="40750811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8515350"/>
                    </a:xfrm>
                    <a:prstGeom prst="rect">
                      <a:avLst/>
                    </a:prstGeom>
                    <a:noFill/>
                  </pic:spPr>
                </pic:pic>
              </a:graphicData>
            </a:graphic>
          </wp:inline>
        </w:drawing>
      </w:r>
    </w:p>
    <w:p w14:paraId="7FEA9899" w14:textId="7531C7EC" w:rsidR="009642E5" w:rsidRDefault="009642E5" w:rsidP="009642E5">
      <w:pPr>
        <w:pStyle w:val="Odlomakpopisa"/>
        <w:spacing w:after="160" w:line="259" w:lineRule="auto"/>
        <w:ind w:left="0"/>
        <w:jc w:val="both"/>
      </w:pPr>
      <w:r>
        <w:lastRenderedPageBreak/>
        <w:t>Rezultati iz financijskih izvještaja navedeni u tabeli u stupcu 4. prikazuju rezultat tekuće godine na dan 31. prosinca 202</w:t>
      </w:r>
      <w:r w:rsidR="005A0F4D">
        <w:t>4</w:t>
      </w:r>
      <w:r>
        <w:t xml:space="preserve">. koji predstavlja pozitivan konsolidirani rezultat u iznosu od </w:t>
      </w:r>
      <w:r w:rsidR="005A0F4D">
        <w:t>2.723.483,35</w:t>
      </w:r>
      <w:r>
        <w:t xml:space="preserve"> eura dok je u posljednjem stupcu prikazan rezultat koji uključuje preneseni manjak odnosno višak prethodnog razdoblja po korisniku, odnosno prikazuje </w:t>
      </w:r>
      <w:r w:rsidR="005A0F4D">
        <w:t>rezultat</w:t>
      </w:r>
      <w:r>
        <w:t xml:space="preserve"> konsolidiranog proračuna na </w:t>
      </w:r>
      <w:r w:rsidR="005A0F4D">
        <w:t>dan 31.12.2024. godine u iznosu od 4.097.261,99</w:t>
      </w:r>
      <w:r>
        <w:t xml:space="preserve"> eura.</w:t>
      </w:r>
    </w:p>
    <w:p w14:paraId="279F9312" w14:textId="77777777" w:rsidR="00227602" w:rsidRDefault="00227602" w:rsidP="00B0431D">
      <w:pPr>
        <w:pStyle w:val="Odlomakpopisa"/>
        <w:spacing w:after="160" w:line="259" w:lineRule="auto"/>
        <w:ind w:left="0"/>
        <w:jc w:val="both"/>
      </w:pPr>
    </w:p>
    <w:p w14:paraId="07BB4F6C" w14:textId="65DBB901" w:rsidR="00333A84" w:rsidRDefault="00333A84" w:rsidP="00B0431D">
      <w:pPr>
        <w:pStyle w:val="Odlomakpopisa"/>
        <w:spacing w:after="160" w:line="259" w:lineRule="auto"/>
        <w:ind w:left="0"/>
        <w:jc w:val="both"/>
      </w:pPr>
      <w:r>
        <w:t xml:space="preserve">U dokumentu </w:t>
      </w:r>
      <w:r w:rsidR="00761C81">
        <w:t>G</w:t>
      </w:r>
      <w:r w:rsidR="00B0431D">
        <w:t>odišnji izvještaj o izvršenju proračuna za 202</w:t>
      </w:r>
      <w:r w:rsidR="005A0F4D">
        <w:t>4</w:t>
      </w:r>
      <w:r w:rsidR="00B0431D">
        <w:t>. godinu</w:t>
      </w:r>
      <w:r>
        <w:t>, unutar općeg dijela proračuna</w:t>
      </w:r>
      <w:r w:rsidR="00B0431D">
        <w:t xml:space="preserve"> </w:t>
      </w:r>
      <w:r>
        <w:t>iskazani su:</w:t>
      </w:r>
    </w:p>
    <w:p w14:paraId="37E28E98" w14:textId="77777777" w:rsidR="00333A84" w:rsidRDefault="00333A84" w:rsidP="00B0431D">
      <w:pPr>
        <w:pStyle w:val="Odlomakpopisa"/>
        <w:spacing w:after="160" w:line="259" w:lineRule="auto"/>
        <w:ind w:left="0"/>
        <w:jc w:val="both"/>
      </w:pPr>
      <w:r>
        <w:t>A. Račun prihoda i rashoda</w:t>
      </w:r>
    </w:p>
    <w:p w14:paraId="09852514" w14:textId="41F6164F" w:rsidR="004374F6" w:rsidRDefault="00333A84" w:rsidP="00B0431D">
      <w:pPr>
        <w:pStyle w:val="Odlomakpopisa"/>
        <w:spacing w:after="160" w:line="259" w:lineRule="auto"/>
        <w:ind w:left="0"/>
        <w:jc w:val="both"/>
      </w:pPr>
      <w:r>
        <w:t>- Prihodi</w:t>
      </w:r>
      <w:r w:rsidR="004374F6">
        <w:t xml:space="preserve"> i</w:t>
      </w:r>
      <w:r>
        <w:t xml:space="preserve"> rashodi prema ekonomskoj </w:t>
      </w:r>
      <w:r w:rsidRPr="0060140D">
        <w:t>klasifikaciji (str.</w:t>
      </w:r>
      <w:r w:rsidR="00F12049">
        <w:t>2</w:t>
      </w:r>
      <w:r w:rsidRPr="0060140D">
        <w:t>-str.</w:t>
      </w:r>
      <w:r w:rsidR="00F12049">
        <w:t>8</w:t>
      </w:r>
      <w:r w:rsidRPr="0060140D">
        <w:t>)</w:t>
      </w:r>
    </w:p>
    <w:p w14:paraId="53EC2B29" w14:textId="4E5774A5" w:rsidR="00333A84" w:rsidRDefault="00333A84" w:rsidP="00B0431D">
      <w:pPr>
        <w:pStyle w:val="Odlomakpopisa"/>
        <w:spacing w:after="160" w:line="259" w:lineRule="auto"/>
        <w:ind w:left="0"/>
        <w:jc w:val="both"/>
      </w:pPr>
      <w:r>
        <w:t xml:space="preserve">- Prihodi i rashodi prema izvorima </w:t>
      </w:r>
      <w:r w:rsidRPr="0060140D">
        <w:t>financiranja (str.</w:t>
      </w:r>
      <w:r w:rsidR="00F12049">
        <w:t>9</w:t>
      </w:r>
      <w:r w:rsidRPr="0060140D">
        <w:t>-str.1</w:t>
      </w:r>
      <w:r w:rsidR="00F12049">
        <w:t>0</w:t>
      </w:r>
      <w:r w:rsidRPr="0060140D">
        <w:t>)</w:t>
      </w:r>
    </w:p>
    <w:p w14:paraId="264094E5" w14:textId="51B4DF6D" w:rsidR="00333A84" w:rsidRDefault="00333A84" w:rsidP="00B0431D">
      <w:pPr>
        <w:pStyle w:val="Odlomakpopisa"/>
        <w:spacing w:after="160" w:line="259" w:lineRule="auto"/>
        <w:ind w:left="0"/>
        <w:jc w:val="both"/>
      </w:pPr>
      <w:r>
        <w:t xml:space="preserve">- Rashodi prema funkcijskoj </w:t>
      </w:r>
      <w:r w:rsidRPr="0060140D">
        <w:t>klasifikaciji (str.1</w:t>
      </w:r>
      <w:r w:rsidR="00F12049">
        <w:t>1</w:t>
      </w:r>
      <w:r w:rsidRPr="0060140D">
        <w:t>-str.1</w:t>
      </w:r>
      <w:r w:rsidR="00F12049">
        <w:t>2</w:t>
      </w:r>
      <w:r w:rsidRPr="0060140D">
        <w:t>)</w:t>
      </w:r>
    </w:p>
    <w:p w14:paraId="169CD63B" w14:textId="77777777" w:rsidR="00333A84" w:rsidRDefault="00333A84" w:rsidP="00B0431D">
      <w:pPr>
        <w:pStyle w:val="Odlomakpopisa"/>
        <w:spacing w:after="160" w:line="259" w:lineRule="auto"/>
        <w:ind w:left="0"/>
        <w:jc w:val="both"/>
      </w:pPr>
      <w:r>
        <w:t>B. Račun financiranja</w:t>
      </w:r>
    </w:p>
    <w:p w14:paraId="19D36263" w14:textId="39555233" w:rsidR="00333A84" w:rsidRDefault="00333A84" w:rsidP="00B0431D">
      <w:pPr>
        <w:pStyle w:val="Odlomakpopisa"/>
        <w:spacing w:after="160" w:line="259" w:lineRule="auto"/>
        <w:ind w:left="0"/>
        <w:jc w:val="both"/>
      </w:pPr>
      <w:r>
        <w:t xml:space="preserve">- Račun financiranja prema ekonomskoj klasifikaciji </w:t>
      </w:r>
      <w:r w:rsidRPr="0060140D">
        <w:t>(str.1</w:t>
      </w:r>
      <w:r w:rsidR="00F12049">
        <w:t>3</w:t>
      </w:r>
      <w:r w:rsidRPr="0060140D">
        <w:t>)</w:t>
      </w:r>
    </w:p>
    <w:p w14:paraId="5D723858" w14:textId="2C40CA64" w:rsidR="00333A84" w:rsidRDefault="00333A84" w:rsidP="00B0431D">
      <w:pPr>
        <w:pStyle w:val="Odlomakpopisa"/>
        <w:spacing w:after="160" w:line="259" w:lineRule="auto"/>
        <w:ind w:left="0"/>
        <w:jc w:val="both"/>
      </w:pPr>
      <w:r>
        <w:t xml:space="preserve">- Račun financiranja prema izvorima financiranja </w:t>
      </w:r>
      <w:r w:rsidRPr="001A2578">
        <w:t>(str.1</w:t>
      </w:r>
      <w:r w:rsidR="005A0F4D">
        <w:t>4</w:t>
      </w:r>
      <w:r w:rsidRPr="001A2578">
        <w:t>)</w:t>
      </w:r>
    </w:p>
    <w:p w14:paraId="5CF23DF3" w14:textId="77777777" w:rsidR="005A0F4D" w:rsidRDefault="005A0F4D" w:rsidP="00B0431D">
      <w:pPr>
        <w:pStyle w:val="Odlomakpopisa"/>
        <w:spacing w:after="160" w:line="259" w:lineRule="auto"/>
        <w:ind w:left="0"/>
        <w:jc w:val="both"/>
      </w:pPr>
    </w:p>
    <w:p w14:paraId="01E873A5" w14:textId="4CA12416" w:rsidR="00AD5CBA" w:rsidRDefault="00AD5CBA" w:rsidP="00B0431D">
      <w:pPr>
        <w:pStyle w:val="Odlomakpopisa"/>
        <w:spacing w:after="160" w:line="259" w:lineRule="auto"/>
        <w:ind w:left="0"/>
        <w:jc w:val="both"/>
      </w:pPr>
      <w:r w:rsidRPr="009F5263">
        <w:t xml:space="preserve">Analitički prikaz ostvarenih primitaka i izvršenih izdataka po svakom pojedinačnom zajmu, kreditu, vrijednosnom papiru vezan uz </w:t>
      </w:r>
      <w:r w:rsidRPr="009F5263">
        <w:rPr>
          <w:b/>
        </w:rPr>
        <w:t>račun financiranja</w:t>
      </w:r>
      <w:r w:rsidRPr="009F5263">
        <w:t>:</w:t>
      </w:r>
    </w:p>
    <w:p w14:paraId="4DA93517" w14:textId="5208EFC7" w:rsidR="004374F6" w:rsidRDefault="004374F6" w:rsidP="00B0431D">
      <w:pPr>
        <w:pStyle w:val="Odlomakpopisa"/>
        <w:spacing w:after="160" w:line="259" w:lineRule="auto"/>
        <w:ind w:left="0"/>
        <w:jc w:val="both"/>
      </w:pPr>
      <w:r w:rsidRPr="001A2578">
        <w:t>Primici</w:t>
      </w:r>
      <w:r w:rsidR="007B6728" w:rsidRPr="001A2578">
        <w:t xml:space="preserve"> – Račun financiranja</w:t>
      </w:r>
      <w:r w:rsidR="001A2578" w:rsidRPr="001A2578">
        <w:t xml:space="preserve"> prema ekonomskoj klasifikaciji</w:t>
      </w:r>
      <w:r w:rsidRPr="001A2578">
        <w:t>:</w:t>
      </w:r>
    </w:p>
    <w:p w14:paraId="2AE0CD2F" w14:textId="06C38B03" w:rsidR="00813D9D" w:rsidRDefault="00813D9D" w:rsidP="00B0431D">
      <w:pPr>
        <w:pStyle w:val="Odlomakpopisa"/>
        <w:spacing w:after="160" w:line="259" w:lineRule="auto"/>
        <w:ind w:left="0"/>
        <w:jc w:val="both"/>
      </w:pPr>
      <w:r w:rsidRPr="00813D9D">
        <w:rPr>
          <w:noProof/>
        </w:rPr>
        <w:drawing>
          <wp:inline distT="0" distB="0" distL="0" distR="0" wp14:anchorId="16B8AD23" wp14:editId="66635567">
            <wp:extent cx="6119495" cy="1275715"/>
            <wp:effectExtent l="0" t="0" r="0" b="635"/>
            <wp:docPr id="10310263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26348" name=""/>
                    <pic:cNvPicPr/>
                  </pic:nvPicPr>
                  <pic:blipFill>
                    <a:blip r:embed="rId12"/>
                    <a:stretch>
                      <a:fillRect/>
                    </a:stretch>
                  </pic:blipFill>
                  <pic:spPr>
                    <a:xfrm>
                      <a:off x="0" y="0"/>
                      <a:ext cx="6119495" cy="1275715"/>
                    </a:xfrm>
                    <a:prstGeom prst="rect">
                      <a:avLst/>
                    </a:prstGeom>
                  </pic:spPr>
                </pic:pic>
              </a:graphicData>
            </a:graphic>
          </wp:inline>
        </w:drawing>
      </w:r>
    </w:p>
    <w:p w14:paraId="4EB083E7" w14:textId="6BE7E498" w:rsidR="009A00FF" w:rsidRDefault="009A00FF" w:rsidP="009A00FF">
      <w:pPr>
        <w:tabs>
          <w:tab w:val="left" w:pos="1041"/>
          <w:tab w:val="left" w:pos="1906"/>
          <w:tab w:val="left" w:pos="7253"/>
          <w:tab w:val="left" w:pos="10955"/>
        </w:tabs>
        <w:spacing w:line="360" w:lineRule="auto"/>
        <w:jc w:val="both"/>
        <w:rPr>
          <w:sz w:val="22"/>
          <w:szCs w:val="22"/>
        </w:rPr>
      </w:pPr>
      <w:r>
        <w:rPr>
          <w:sz w:val="22"/>
          <w:szCs w:val="22"/>
        </w:rPr>
        <w:t xml:space="preserve">U izvještajnom razdoblju ukupni primici su iznosili </w:t>
      </w:r>
      <w:r w:rsidR="00813D9D">
        <w:rPr>
          <w:sz w:val="22"/>
          <w:szCs w:val="22"/>
        </w:rPr>
        <w:t>470.748,90 eura</w:t>
      </w:r>
      <w:r>
        <w:rPr>
          <w:sz w:val="22"/>
          <w:szCs w:val="22"/>
        </w:rPr>
        <w:t xml:space="preserve"> kako slijedi:</w:t>
      </w:r>
    </w:p>
    <w:p w14:paraId="64C123E3" w14:textId="0659450C" w:rsidR="00CE0F42" w:rsidRPr="00DD5F2D" w:rsidRDefault="00CE0F42" w:rsidP="00DD5F2D">
      <w:pPr>
        <w:pStyle w:val="Odlomakpopisa"/>
        <w:spacing w:after="160" w:line="259" w:lineRule="auto"/>
        <w:ind w:left="0"/>
        <w:jc w:val="both"/>
        <w:rPr>
          <w:sz w:val="22"/>
          <w:szCs w:val="22"/>
        </w:rPr>
      </w:pPr>
      <w:r>
        <w:rPr>
          <w:sz w:val="22"/>
          <w:szCs w:val="22"/>
        </w:rPr>
        <w:t xml:space="preserve">Na </w:t>
      </w:r>
      <w:r w:rsidR="009F21E2">
        <w:rPr>
          <w:sz w:val="22"/>
          <w:szCs w:val="22"/>
        </w:rPr>
        <w:t xml:space="preserve">računu </w:t>
      </w:r>
      <w:r>
        <w:rPr>
          <w:sz w:val="22"/>
          <w:szCs w:val="22"/>
        </w:rPr>
        <w:t xml:space="preserve">8163 evidentiran je primitak </w:t>
      </w:r>
      <w:r w:rsidR="00DD5F2D">
        <w:rPr>
          <w:sz w:val="22"/>
          <w:szCs w:val="22"/>
        </w:rPr>
        <w:t xml:space="preserve">u iznosu </w:t>
      </w:r>
      <w:r w:rsidR="00813D9D">
        <w:rPr>
          <w:sz w:val="22"/>
          <w:szCs w:val="22"/>
        </w:rPr>
        <w:t>470.748,90</w:t>
      </w:r>
      <w:r w:rsidR="00921B6F">
        <w:rPr>
          <w:sz w:val="22"/>
          <w:szCs w:val="22"/>
        </w:rPr>
        <w:t xml:space="preserve"> eura</w:t>
      </w:r>
      <w:r w:rsidR="00DD5F2D">
        <w:rPr>
          <w:sz w:val="22"/>
          <w:szCs w:val="22"/>
        </w:rPr>
        <w:t xml:space="preserve"> </w:t>
      </w:r>
      <w:r w:rsidR="00DD5F2D" w:rsidRPr="00DD5F2D">
        <w:rPr>
          <w:sz w:val="22"/>
          <w:szCs w:val="22"/>
        </w:rPr>
        <w:t>koji</w:t>
      </w:r>
      <w:r w:rsidRPr="00DD5F2D">
        <w:rPr>
          <w:sz w:val="22"/>
          <w:szCs w:val="22"/>
        </w:rPr>
        <w:t xml:space="preserve"> se odnos</w:t>
      </w:r>
      <w:r w:rsidR="00DD5F2D" w:rsidRPr="00DD5F2D">
        <w:rPr>
          <w:sz w:val="22"/>
          <w:szCs w:val="22"/>
        </w:rPr>
        <w:t>i</w:t>
      </w:r>
      <w:r w:rsidRPr="00DD5F2D">
        <w:rPr>
          <w:sz w:val="22"/>
          <w:szCs w:val="22"/>
        </w:rPr>
        <w:t xml:space="preserve"> na </w:t>
      </w:r>
      <w:r w:rsidR="00813D9D">
        <w:rPr>
          <w:sz w:val="22"/>
          <w:szCs w:val="22"/>
        </w:rPr>
        <w:t xml:space="preserve">Međimursku županiju </w:t>
      </w:r>
      <w:r w:rsidRPr="00DD5F2D">
        <w:rPr>
          <w:sz w:val="22"/>
          <w:szCs w:val="22"/>
        </w:rPr>
        <w:t>koj</w:t>
      </w:r>
      <w:r w:rsidR="00813D9D">
        <w:rPr>
          <w:sz w:val="22"/>
          <w:szCs w:val="22"/>
        </w:rPr>
        <w:t>a</w:t>
      </w:r>
      <w:r w:rsidRPr="00DD5F2D">
        <w:rPr>
          <w:sz w:val="22"/>
          <w:szCs w:val="22"/>
        </w:rPr>
        <w:t xml:space="preserve"> na navedenom kontu bilježi povrat zajmova danih tuzemnim trgovačkim društvima izvan javnog sektora - odobrena je prodaja </w:t>
      </w:r>
      <w:r w:rsidR="00813D9D">
        <w:rPr>
          <w:sz w:val="22"/>
          <w:szCs w:val="22"/>
        </w:rPr>
        <w:t xml:space="preserve">zemljišta </w:t>
      </w:r>
      <w:r w:rsidRPr="00DD5F2D">
        <w:rPr>
          <w:sz w:val="22"/>
          <w:szCs w:val="22"/>
        </w:rPr>
        <w:t>na rate</w:t>
      </w:r>
      <w:r w:rsidR="00813D9D">
        <w:rPr>
          <w:sz w:val="22"/>
          <w:szCs w:val="22"/>
        </w:rPr>
        <w:t>.</w:t>
      </w:r>
    </w:p>
    <w:p w14:paraId="7F246F5B" w14:textId="7A1A16D5" w:rsidR="00AE331D" w:rsidRDefault="00AE331D" w:rsidP="00AE331D">
      <w:pPr>
        <w:tabs>
          <w:tab w:val="left" w:pos="1041"/>
          <w:tab w:val="left" w:pos="1906"/>
          <w:tab w:val="left" w:pos="7253"/>
          <w:tab w:val="left" w:pos="10955"/>
        </w:tabs>
        <w:jc w:val="both"/>
        <w:rPr>
          <w:sz w:val="22"/>
          <w:szCs w:val="22"/>
        </w:rPr>
      </w:pPr>
      <w:r>
        <w:rPr>
          <w:sz w:val="22"/>
          <w:szCs w:val="22"/>
        </w:rPr>
        <w:t>Međimurska županija</w:t>
      </w:r>
      <w:r w:rsidRPr="003803F6">
        <w:rPr>
          <w:sz w:val="22"/>
          <w:szCs w:val="22"/>
        </w:rPr>
        <w:t xml:space="preserve"> na </w:t>
      </w:r>
      <w:r>
        <w:rPr>
          <w:sz w:val="22"/>
          <w:szCs w:val="22"/>
        </w:rPr>
        <w:t>računu</w:t>
      </w:r>
      <w:r w:rsidRPr="003803F6">
        <w:rPr>
          <w:sz w:val="22"/>
          <w:szCs w:val="22"/>
        </w:rPr>
        <w:t xml:space="preserve"> 8471 </w:t>
      </w:r>
      <w:r w:rsidR="0010293C">
        <w:rPr>
          <w:sz w:val="22"/>
          <w:szCs w:val="22"/>
        </w:rPr>
        <w:t xml:space="preserve">u prethodnom razdoblju </w:t>
      </w:r>
      <w:r w:rsidRPr="003803F6">
        <w:rPr>
          <w:sz w:val="22"/>
          <w:szCs w:val="22"/>
        </w:rPr>
        <w:t>evidentira zajam od državnog proračuna na ime povrata poreza i prireza 202</w:t>
      </w:r>
      <w:r>
        <w:rPr>
          <w:sz w:val="22"/>
          <w:szCs w:val="22"/>
        </w:rPr>
        <w:t>3</w:t>
      </w:r>
      <w:r w:rsidRPr="003803F6">
        <w:rPr>
          <w:sz w:val="22"/>
          <w:szCs w:val="22"/>
        </w:rPr>
        <w:t>. godine</w:t>
      </w:r>
      <w:r w:rsidR="0010293C">
        <w:rPr>
          <w:sz w:val="22"/>
          <w:szCs w:val="22"/>
        </w:rPr>
        <w:t>.</w:t>
      </w:r>
    </w:p>
    <w:p w14:paraId="70CC6DF2" w14:textId="77777777" w:rsidR="00AE331D" w:rsidRDefault="00AE331D" w:rsidP="00AE331D">
      <w:pPr>
        <w:tabs>
          <w:tab w:val="left" w:pos="1041"/>
          <w:tab w:val="left" w:pos="1906"/>
          <w:tab w:val="left" w:pos="7253"/>
          <w:tab w:val="left" w:pos="10955"/>
        </w:tabs>
        <w:jc w:val="both"/>
        <w:rPr>
          <w:sz w:val="22"/>
          <w:szCs w:val="22"/>
        </w:rPr>
      </w:pPr>
    </w:p>
    <w:p w14:paraId="756ECA38" w14:textId="77777777" w:rsidR="007B6728" w:rsidRPr="00AC22AF" w:rsidRDefault="007B6728" w:rsidP="001A2578">
      <w:pPr>
        <w:tabs>
          <w:tab w:val="left" w:pos="1041"/>
          <w:tab w:val="left" w:pos="1906"/>
          <w:tab w:val="left" w:pos="7253"/>
          <w:tab w:val="left" w:pos="10955"/>
        </w:tabs>
        <w:jc w:val="both"/>
        <w:rPr>
          <w:sz w:val="22"/>
          <w:szCs w:val="22"/>
        </w:rPr>
      </w:pPr>
      <w:r w:rsidRPr="001A2578">
        <w:rPr>
          <w:sz w:val="22"/>
          <w:szCs w:val="22"/>
        </w:rPr>
        <w:t>Izdaci – Račun financiranja</w:t>
      </w:r>
      <w:r w:rsidR="001A2578" w:rsidRPr="001A2578">
        <w:rPr>
          <w:sz w:val="22"/>
          <w:szCs w:val="22"/>
        </w:rPr>
        <w:t xml:space="preserve"> prema ekonomskoj klasifikaciji</w:t>
      </w:r>
      <w:r w:rsidRPr="001A2578">
        <w:rPr>
          <w:sz w:val="22"/>
          <w:szCs w:val="22"/>
        </w:rPr>
        <w:t>:</w:t>
      </w:r>
    </w:p>
    <w:p w14:paraId="3650C4C0" w14:textId="77777777" w:rsidR="002D274B" w:rsidRDefault="007B6728" w:rsidP="00B0431D">
      <w:pPr>
        <w:pStyle w:val="Odlomakpopisa"/>
        <w:spacing w:after="160" w:line="259" w:lineRule="auto"/>
        <w:ind w:left="0"/>
        <w:jc w:val="both"/>
        <w:rPr>
          <w:highlight w:val="yellow"/>
        </w:rPr>
      </w:pPr>
      <w:r>
        <w:rPr>
          <w:noProof/>
        </w:rPr>
        <w:drawing>
          <wp:inline distT="0" distB="0" distL="0" distR="0" wp14:anchorId="540C3A9B" wp14:editId="74313907">
            <wp:extent cx="6143625" cy="353054"/>
            <wp:effectExtent l="0" t="0" r="0" b="9525"/>
            <wp:docPr id="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6160447" cy="354021"/>
                    </a:xfrm>
                    <a:prstGeom prst="rect">
                      <a:avLst/>
                    </a:prstGeom>
                    <a:noFill/>
                    <a:ln w="9525">
                      <a:noFill/>
                      <a:miter lim="800000"/>
                      <a:headEnd/>
                      <a:tailEnd/>
                    </a:ln>
                  </pic:spPr>
                </pic:pic>
              </a:graphicData>
            </a:graphic>
          </wp:inline>
        </w:drawing>
      </w:r>
    </w:p>
    <w:p w14:paraId="5398BDB6" w14:textId="1BE13A21" w:rsidR="007B6728" w:rsidRDefault="009F5263" w:rsidP="00B0431D">
      <w:pPr>
        <w:pStyle w:val="Odlomakpopisa"/>
        <w:spacing w:after="160" w:line="259" w:lineRule="auto"/>
        <w:ind w:left="0"/>
        <w:jc w:val="both"/>
        <w:rPr>
          <w:highlight w:val="yellow"/>
        </w:rPr>
      </w:pPr>
      <w:r w:rsidRPr="009F5263">
        <w:rPr>
          <w:noProof/>
        </w:rPr>
        <w:drawing>
          <wp:inline distT="0" distB="0" distL="0" distR="0" wp14:anchorId="2A7FB871" wp14:editId="5DC42C87">
            <wp:extent cx="6119495" cy="1320800"/>
            <wp:effectExtent l="0" t="0" r="0" b="0"/>
            <wp:docPr id="11586936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93672" name=""/>
                    <pic:cNvPicPr/>
                  </pic:nvPicPr>
                  <pic:blipFill>
                    <a:blip r:embed="rId14"/>
                    <a:stretch>
                      <a:fillRect/>
                    </a:stretch>
                  </pic:blipFill>
                  <pic:spPr>
                    <a:xfrm>
                      <a:off x="0" y="0"/>
                      <a:ext cx="6119495" cy="1320800"/>
                    </a:xfrm>
                    <a:prstGeom prst="rect">
                      <a:avLst/>
                    </a:prstGeom>
                  </pic:spPr>
                </pic:pic>
              </a:graphicData>
            </a:graphic>
          </wp:inline>
        </w:drawing>
      </w:r>
    </w:p>
    <w:p w14:paraId="48A5ACE4" w14:textId="77777777" w:rsidR="00AB06D4" w:rsidRDefault="00AB06D4" w:rsidP="00B0431D">
      <w:pPr>
        <w:pStyle w:val="Odlomakpopisa"/>
        <w:spacing w:after="160" w:line="259" w:lineRule="auto"/>
        <w:ind w:left="0"/>
        <w:jc w:val="both"/>
        <w:rPr>
          <w:sz w:val="22"/>
          <w:szCs w:val="22"/>
        </w:rPr>
      </w:pPr>
    </w:p>
    <w:p w14:paraId="13E0DA58" w14:textId="5E837DE2" w:rsidR="002D274B" w:rsidRDefault="00DA72EF" w:rsidP="00B0431D">
      <w:pPr>
        <w:pStyle w:val="Odlomakpopisa"/>
        <w:spacing w:after="160" w:line="259" w:lineRule="auto"/>
        <w:ind w:left="0"/>
        <w:jc w:val="both"/>
        <w:rPr>
          <w:sz w:val="22"/>
          <w:szCs w:val="22"/>
        </w:rPr>
      </w:pPr>
      <w:r w:rsidRPr="00435DE2">
        <w:rPr>
          <w:sz w:val="22"/>
          <w:szCs w:val="22"/>
        </w:rPr>
        <w:t>Analitički prikaz otplate glavnica</w:t>
      </w:r>
      <w:r w:rsidR="008600C2">
        <w:rPr>
          <w:sz w:val="22"/>
          <w:szCs w:val="22"/>
        </w:rPr>
        <w:t xml:space="preserve">-ukupno izdaci za financijsku imovinu i otplatu zajmova – </w:t>
      </w:r>
      <w:r w:rsidR="009F21E2">
        <w:rPr>
          <w:sz w:val="22"/>
          <w:szCs w:val="22"/>
        </w:rPr>
        <w:t>račun</w:t>
      </w:r>
      <w:r w:rsidR="008600C2">
        <w:rPr>
          <w:sz w:val="22"/>
          <w:szCs w:val="22"/>
        </w:rPr>
        <w:t xml:space="preserve"> 5</w:t>
      </w:r>
      <w:r w:rsidR="009F21E2">
        <w:rPr>
          <w:sz w:val="22"/>
          <w:szCs w:val="22"/>
        </w:rPr>
        <w:t xml:space="preserve"> -</w:t>
      </w:r>
      <w:r w:rsidR="009A00FF">
        <w:rPr>
          <w:sz w:val="22"/>
          <w:szCs w:val="22"/>
        </w:rPr>
        <w:t xml:space="preserve"> iznose </w:t>
      </w:r>
      <w:r w:rsidR="00AE331D">
        <w:rPr>
          <w:b/>
          <w:sz w:val="22"/>
          <w:szCs w:val="22"/>
        </w:rPr>
        <w:t>1.</w:t>
      </w:r>
      <w:r w:rsidR="009F5263">
        <w:rPr>
          <w:b/>
          <w:sz w:val="22"/>
          <w:szCs w:val="22"/>
        </w:rPr>
        <w:t>855.608,07</w:t>
      </w:r>
      <w:r w:rsidR="00AE331D">
        <w:rPr>
          <w:b/>
          <w:sz w:val="22"/>
          <w:szCs w:val="22"/>
        </w:rPr>
        <w:t xml:space="preserve"> eura</w:t>
      </w:r>
      <w:r w:rsidR="009A00FF">
        <w:rPr>
          <w:sz w:val="22"/>
          <w:szCs w:val="22"/>
        </w:rPr>
        <w:t xml:space="preserve"> kako slijedi</w:t>
      </w:r>
      <w:r w:rsidR="002D274B" w:rsidRPr="00435DE2">
        <w:rPr>
          <w:sz w:val="22"/>
          <w:szCs w:val="22"/>
        </w:rPr>
        <w:t>:</w:t>
      </w:r>
    </w:p>
    <w:p w14:paraId="10386B1F" w14:textId="61C82548" w:rsidR="004D4E87" w:rsidRPr="00435DE2" w:rsidRDefault="004D4E87" w:rsidP="004D4E87">
      <w:pPr>
        <w:pStyle w:val="Odlomakpopisa"/>
        <w:spacing w:after="160" w:line="259" w:lineRule="auto"/>
        <w:ind w:left="0"/>
        <w:jc w:val="both"/>
        <w:rPr>
          <w:sz w:val="22"/>
          <w:szCs w:val="22"/>
        </w:rPr>
      </w:pPr>
      <w:r w:rsidRPr="00435DE2">
        <w:rPr>
          <w:b/>
          <w:sz w:val="22"/>
          <w:szCs w:val="22"/>
        </w:rPr>
        <w:lastRenderedPageBreak/>
        <w:t>Međimurska županija</w:t>
      </w:r>
      <w:r w:rsidRPr="00435DE2">
        <w:rPr>
          <w:sz w:val="22"/>
          <w:szCs w:val="22"/>
        </w:rPr>
        <w:t xml:space="preserve">: otplaćeno </w:t>
      </w:r>
      <w:r>
        <w:rPr>
          <w:sz w:val="22"/>
          <w:szCs w:val="22"/>
        </w:rPr>
        <w:t xml:space="preserve">u izvještajnom razdoblju </w:t>
      </w:r>
      <w:r w:rsidR="00357694">
        <w:rPr>
          <w:b/>
          <w:sz w:val="22"/>
          <w:szCs w:val="22"/>
        </w:rPr>
        <w:t>1.124.626,17</w:t>
      </w:r>
      <w:r w:rsidR="00AE331D">
        <w:rPr>
          <w:b/>
          <w:sz w:val="22"/>
          <w:szCs w:val="22"/>
        </w:rPr>
        <w:t xml:space="preserve"> eura</w:t>
      </w:r>
      <w:r w:rsidR="008600C2">
        <w:rPr>
          <w:sz w:val="22"/>
          <w:szCs w:val="22"/>
        </w:rPr>
        <w:t xml:space="preserve"> </w:t>
      </w:r>
      <w:r w:rsidR="00DF3E16">
        <w:rPr>
          <w:sz w:val="22"/>
          <w:szCs w:val="22"/>
        </w:rPr>
        <w:t>(</w:t>
      </w:r>
      <w:r w:rsidR="00C05422">
        <w:rPr>
          <w:sz w:val="22"/>
          <w:szCs w:val="22"/>
        </w:rPr>
        <w:t>šifra</w:t>
      </w:r>
      <w:r w:rsidR="00DF3E16">
        <w:rPr>
          <w:sz w:val="22"/>
          <w:szCs w:val="22"/>
        </w:rPr>
        <w:t xml:space="preserve"> 5443)</w:t>
      </w:r>
      <w:r w:rsidR="00357694">
        <w:rPr>
          <w:sz w:val="22"/>
          <w:szCs w:val="22"/>
        </w:rPr>
        <w:t xml:space="preserve">, </w:t>
      </w:r>
      <w:r w:rsidR="00357694" w:rsidRPr="00357694">
        <w:rPr>
          <w:b/>
          <w:bCs/>
          <w:sz w:val="22"/>
          <w:szCs w:val="22"/>
        </w:rPr>
        <w:t>631.155,22 eura</w:t>
      </w:r>
      <w:r w:rsidR="00357694">
        <w:rPr>
          <w:sz w:val="22"/>
          <w:szCs w:val="22"/>
        </w:rPr>
        <w:t xml:space="preserve"> na ime povrata glavnice po kreditu</w:t>
      </w:r>
      <w:r w:rsidR="00C05422">
        <w:rPr>
          <w:sz w:val="22"/>
          <w:szCs w:val="22"/>
        </w:rPr>
        <w:t xml:space="preserve"> (šifra 5443)</w:t>
      </w:r>
      <w:r w:rsidR="00DF3E16">
        <w:rPr>
          <w:sz w:val="22"/>
          <w:szCs w:val="22"/>
        </w:rPr>
        <w:t xml:space="preserve"> i </w:t>
      </w:r>
      <w:r w:rsidR="00357694">
        <w:rPr>
          <w:b/>
          <w:bCs/>
          <w:sz w:val="22"/>
          <w:szCs w:val="22"/>
        </w:rPr>
        <w:t>99.826,68</w:t>
      </w:r>
      <w:r w:rsidR="00DF3E16">
        <w:rPr>
          <w:sz w:val="22"/>
          <w:szCs w:val="22"/>
        </w:rPr>
        <w:t xml:space="preserve"> </w:t>
      </w:r>
      <w:r w:rsidR="00DF3E16" w:rsidRPr="00DF3E16">
        <w:rPr>
          <w:b/>
          <w:bCs/>
          <w:sz w:val="22"/>
          <w:szCs w:val="22"/>
        </w:rPr>
        <w:t xml:space="preserve">eura </w:t>
      </w:r>
      <w:r w:rsidR="00DF3E16">
        <w:rPr>
          <w:sz w:val="22"/>
          <w:szCs w:val="22"/>
        </w:rPr>
        <w:t>(</w:t>
      </w:r>
      <w:r w:rsidR="00C05422">
        <w:rPr>
          <w:sz w:val="22"/>
          <w:szCs w:val="22"/>
        </w:rPr>
        <w:t xml:space="preserve">šifra </w:t>
      </w:r>
      <w:r w:rsidR="00DF3E16">
        <w:rPr>
          <w:sz w:val="22"/>
          <w:szCs w:val="22"/>
        </w:rPr>
        <w:t>5471)</w:t>
      </w:r>
      <w:r w:rsidR="00357694">
        <w:rPr>
          <w:sz w:val="22"/>
          <w:szCs w:val="22"/>
        </w:rPr>
        <w:t>.</w:t>
      </w:r>
    </w:p>
    <w:p w14:paraId="1121510A" w14:textId="77777777" w:rsidR="00357694" w:rsidRPr="00357694" w:rsidRDefault="00357694" w:rsidP="00357694">
      <w:pPr>
        <w:spacing w:after="160" w:line="259" w:lineRule="auto"/>
        <w:jc w:val="both"/>
        <w:rPr>
          <w:i/>
        </w:rPr>
      </w:pPr>
    </w:p>
    <w:p w14:paraId="3B9AFE0F" w14:textId="77777777" w:rsidR="00357694" w:rsidRDefault="00357694" w:rsidP="00357694">
      <w:pPr>
        <w:pStyle w:val="Odlomakpopisa"/>
        <w:numPr>
          <w:ilvl w:val="0"/>
          <w:numId w:val="24"/>
        </w:numPr>
        <w:spacing w:after="160" w:line="259" w:lineRule="auto"/>
        <w:jc w:val="both"/>
        <w:rPr>
          <w:i/>
        </w:rPr>
      </w:pPr>
      <w:r>
        <w:rPr>
          <w:i/>
        </w:rPr>
        <w:t>Dani zajmovi tuzemnim trgovačkim društvima izvan javnog sektora – 1.124.626,17 eura – prodano zemljište na rate – navedeni izdaci pokrivaju se primicima (šifra 8163) ostvarenim povratom navedenih zajmova sukladno sporazumu o prodaji zemljišta na rate</w:t>
      </w:r>
    </w:p>
    <w:p w14:paraId="522FAFC0" w14:textId="59DE3C84" w:rsidR="00357694" w:rsidRDefault="00357694" w:rsidP="00357694">
      <w:pPr>
        <w:pStyle w:val="Odlomakpopisa"/>
        <w:numPr>
          <w:ilvl w:val="0"/>
          <w:numId w:val="24"/>
        </w:numPr>
        <w:spacing w:after="160" w:line="259" w:lineRule="auto"/>
        <w:jc w:val="both"/>
        <w:rPr>
          <w:i/>
        </w:rPr>
      </w:pPr>
      <w:r>
        <w:rPr>
          <w:i/>
        </w:rPr>
        <w:t>Otplata glavnice primljenih kredita od tuzemnih kreditnih institucija izvan javnog sektora – povrat kredita u iznosu od 631.155,22 eura</w:t>
      </w:r>
      <w:r w:rsidR="00C05422">
        <w:rPr>
          <w:i/>
        </w:rPr>
        <w:t xml:space="preserve"> iz obveze prethodnog razdoblja</w:t>
      </w:r>
    </w:p>
    <w:p w14:paraId="3E671296" w14:textId="151630D3" w:rsidR="004D4E87" w:rsidRPr="00357694" w:rsidRDefault="00CE2EFB" w:rsidP="00357694">
      <w:pPr>
        <w:pStyle w:val="Odlomakpopisa"/>
        <w:numPr>
          <w:ilvl w:val="0"/>
          <w:numId w:val="24"/>
        </w:numPr>
        <w:spacing w:after="160" w:line="259" w:lineRule="auto"/>
        <w:jc w:val="both"/>
        <w:rPr>
          <w:i/>
        </w:rPr>
      </w:pPr>
      <w:r w:rsidRPr="00357694">
        <w:rPr>
          <w:i/>
        </w:rPr>
        <w:t>Otplata glavnice primljenih zajmova od državnog proračuna</w:t>
      </w:r>
      <w:r w:rsidR="00357694" w:rsidRPr="00357694">
        <w:rPr>
          <w:i/>
        </w:rPr>
        <w:t xml:space="preserve"> u prethodnom razdoblju</w:t>
      </w:r>
      <w:r w:rsidRPr="00357694">
        <w:rPr>
          <w:i/>
        </w:rPr>
        <w:t xml:space="preserve"> - s osnove povrata prema godišnjem obračunu poreza na dohodak - povrat u Državni proračun - iznos </w:t>
      </w:r>
      <w:r w:rsidRPr="00357694">
        <w:rPr>
          <w:iCs/>
        </w:rPr>
        <w:t xml:space="preserve">od </w:t>
      </w:r>
      <w:r w:rsidR="00357694" w:rsidRPr="00357694">
        <w:rPr>
          <w:iCs/>
        </w:rPr>
        <w:t>99.826,57</w:t>
      </w:r>
      <w:r w:rsidR="00161E48" w:rsidRPr="00357694">
        <w:rPr>
          <w:iCs/>
        </w:rPr>
        <w:t xml:space="preserve"> eura</w:t>
      </w:r>
      <w:r w:rsidRPr="00357694">
        <w:rPr>
          <w:i/>
        </w:rPr>
        <w:t xml:space="preserve"> </w:t>
      </w:r>
      <w:r w:rsidR="008600C2" w:rsidRPr="00357694">
        <w:rPr>
          <w:i/>
        </w:rPr>
        <w:t>(</w:t>
      </w:r>
      <w:r w:rsidR="00AF5DAC" w:rsidRPr="00357694">
        <w:rPr>
          <w:i/>
        </w:rPr>
        <w:t>šifra</w:t>
      </w:r>
      <w:r w:rsidR="008600C2" w:rsidRPr="00357694">
        <w:rPr>
          <w:i/>
        </w:rPr>
        <w:t xml:space="preserve"> 5471)</w:t>
      </w:r>
    </w:p>
    <w:p w14:paraId="7C3E5B41" w14:textId="54CF8A4E" w:rsidR="00D57460" w:rsidRDefault="00D57460" w:rsidP="00116279">
      <w:pPr>
        <w:pStyle w:val="Odlomakpopisa"/>
        <w:spacing w:after="160" w:line="259" w:lineRule="auto"/>
        <w:ind w:left="0" w:firstLine="426"/>
        <w:jc w:val="both"/>
        <w:rPr>
          <w:i/>
          <w:sz w:val="22"/>
          <w:szCs w:val="22"/>
        </w:rPr>
      </w:pPr>
    </w:p>
    <w:p w14:paraId="4F2DEDD3" w14:textId="77777777" w:rsidR="008C65AE" w:rsidRDefault="000B7C91" w:rsidP="00116279">
      <w:pPr>
        <w:pStyle w:val="Odlomakpopisa"/>
        <w:spacing w:after="160" w:line="259" w:lineRule="auto"/>
        <w:ind w:left="0" w:firstLine="426"/>
        <w:jc w:val="both"/>
        <w:rPr>
          <w:b/>
          <w:noProof/>
        </w:rPr>
      </w:pPr>
      <w:r>
        <w:rPr>
          <w:b/>
        </w:rPr>
        <w:t xml:space="preserve">POSEBNI </w:t>
      </w:r>
      <w:r w:rsidR="00815538" w:rsidRPr="008C65AE">
        <w:rPr>
          <w:b/>
        </w:rPr>
        <w:t>DIO PRORAČUNA</w:t>
      </w:r>
    </w:p>
    <w:p w14:paraId="30099ED4" w14:textId="77777777" w:rsidR="002B71DD" w:rsidRDefault="002B71DD" w:rsidP="002B71DD">
      <w:pPr>
        <w:pStyle w:val="Odlomakpopisa"/>
        <w:ind w:left="1065"/>
        <w:jc w:val="both"/>
        <w:rPr>
          <w:b/>
          <w:noProof/>
        </w:rPr>
      </w:pPr>
    </w:p>
    <w:p w14:paraId="7C1F096C" w14:textId="77777777" w:rsidR="00E9437C" w:rsidRDefault="0046541C" w:rsidP="0046541C">
      <w:pPr>
        <w:pStyle w:val="Odlomakpopisa"/>
        <w:ind w:left="426"/>
        <w:jc w:val="both"/>
        <w:rPr>
          <w:noProof/>
        </w:rPr>
      </w:pPr>
      <w:r w:rsidRPr="0046541C">
        <w:rPr>
          <w:noProof/>
        </w:rPr>
        <w:t xml:space="preserve">Posebni dio proračuna </w:t>
      </w:r>
      <w:r>
        <w:rPr>
          <w:noProof/>
        </w:rPr>
        <w:t>sadrži</w:t>
      </w:r>
      <w:r w:rsidR="001829F4">
        <w:rPr>
          <w:noProof/>
        </w:rPr>
        <w:t>:</w:t>
      </w:r>
    </w:p>
    <w:p w14:paraId="4DB96F57" w14:textId="17349F77" w:rsidR="001829F4" w:rsidRDefault="001829F4" w:rsidP="0046541C">
      <w:pPr>
        <w:pStyle w:val="Odlomakpopisa"/>
        <w:ind w:left="426"/>
        <w:jc w:val="both"/>
        <w:rPr>
          <w:noProof/>
        </w:rPr>
      </w:pPr>
      <w:r>
        <w:rPr>
          <w:noProof/>
        </w:rPr>
        <w:t xml:space="preserve">- izvršenje po organizacijskoj klasifikaciji </w:t>
      </w:r>
      <w:r w:rsidRPr="007B6728">
        <w:rPr>
          <w:noProof/>
        </w:rPr>
        <w:t>(</w:t>
      </w:r>
      <w:r w:rsidR="007B6728" w:rsidRPr="007B6728">
        <w:rPr>
          <w:noProof/>
        </w:rPr>
        <w:t>str.1</w:t>
      </w:r>
      <w:r w:rsidR="00C05422">
        <w:rPr>
          <w:noProof/>
        </w:rPr>
        <w:t>5</w:t>
      </w:r>
      <w:r w:rsidR="007B6728" w:rsidRPr="007B6728">
        <w:rPr>
          <w:noProof/>
        </w:rPr>
        <w:t>-str.1</w:t>
      </w:r>
      <w:r w:rsidR="00C05422">
        <w:rPr>
          <w:noProof/>
        </w:rPr>
        <w:t>6</w:t>
      </w:r>
      <w:r w:rsidR="00B776CF" w:rsidRPr="007B6728">
        <w:rPr>
          <w:noProof/>
        </w:rPr>
        <w:t>)</w:t>
      </w:r>
    </w:p>
    <w:p w14:paraId="5DF1473A" w14:textId="27D52C3D" w:rsidR="001829F4" w:rsidRDefault="001829F4" w:rsidP="0046541C">
      <w:pPr>
        <w:pStyle w:val="Odlomakpopisa"/>
        <w:ind w:left="426"/>
        <w:jc w:val="both"/>
        <w:rPr>
          <w:noProof/>
        </w:rPr>
      </w:pPr>
      <w:r>
        <w:rPr>
          <w:noProof/>
        </w:rPr>
        <w:t>- izvršenje po programskoj klasifikaciji</w:t>
      </w:r>
      <w:r w:rsidR="00B776CF">
        <w:rPr>
          <w:noProof/>
        </w:rPr>
        <w:t xml:space="preserve"> </w:t>
      </w:r>
      <w:r w:rsidR="007B6728" w:rsidRPr="007B6728">
        <w:rPr>
          <w:noProof/>
        </w:rPr>
        <w:t>(str.1</w:t>
      </w:r>
      <w:r w:rsidR="00C05422">
        <w:rPr>
          <w:noProof/>
        </w:rPr>
        <w:t>7</w:t>
      </w:r>
      <w:r w:rsidR="007B6728" w:rsidRPr="007B6728">
        <w:rPr>
          <w:noProof/>
        </w:rPr>
        <w:t>-str.1</w:t>
      </w:r>
      <w:r w:rsidR="00C05422">
        <w:rPr>
          <w:noProof/>
        </w:rPr>
        <w:t>45</w:t>
      </w:r>
      <w:r w:rsidR="00B776CF" w:rsidRPr="007B6728">
        <w:rPr>
          <w:noProof/>
        </w:rPr>
        <w:t>)</w:t>
      </w:r>
      <w:r w:rsidR="00B776CF">
        <w:rPr>
          <w:noProof/>
        </w:rPr>
        <w:t xml:space="preserve"> po programu, aktivnosti i projektu</w:t>
      </w:r>
    </w:p>
    <w:p w14:paraId="0C46681F" w14:textId="77777777" w:rsidR="00B776CF" w:rsidRDefault="00B776CF" w:rsidP="00B776CF">
      <w:pPr>
        <w:ind w:left="426"/>
        <w:jc w:val="both"/>
        <w:rPr>
          <w:noProof/>
        </w:rPr>
      </w:pPr>
    </w:p>
    <w:p w14:paraId="04151DE5" w14:textId="77777777" w:rsidR="00B776CF" w:rsidRPr="00B776CF" w:rsidRDefault="00B776CF" w:rsidP="00B776CF">
      <w:pPr>
        <w:ind w:left="426"/>
        <w:jc w:val="both"/>
        <w:rPr>
          <w:noProof/>
        </w:rPr>
      </w:pPr>
      <w:r w:rsidRPr="00B776CF">
        <w:rPr>
          <w:noProof/>
        </w:rPr>
        <w:t>Prema odredbama Pravilnika o polugodišnjem i godišnjem izvještaju o izvršenju proračuna, izvorni plan je proračun odnosno posljednje izmjene i dopune proračuna donesene od strane predstavničkog tijela. Tekući plan je proračun odnosno posljednje izmjene i dopune proračuna s uključenim naknadno izvršenim preraspodjelama.</w:t>
      </w:r>
    </w:p>
    <w:p w14:paraId="3928893F" w14:textId="35ABDFC9" w:rsidR="00B776CF" w:rsidRPr="00B776CF" w:rsidRDefault="00B776CF" w:rsidP="00B776CF">
      <w:pPr>
        <w:ind w:left="426"/>
        <w:jc w:val="both"/>
        <w:rPr>
          <w:noProof/>
        </w:rPr>
      </w:pPr>
      <w:r w:rsidRPr="00B776CF">
        <w:rPr>
          <w:noProof/>
        </w:rPr>
        <w:t xml:space="preserve">Preraspodjela sredstava planiranih u Proračun nije bilo te je tekući plan jednak izvornom planu odnosno Planu Proračuna </w:t>
      </w:r>
      <w:r>
        <w:rPr>
          <w:noProof/>
        </w:rPr>
        <w:t>Međimurske županije</w:t>
      </w:r>
      <w:r w:rsidRPr="00B776CF">
        <w:rPr>
          <w:noProof/>
        </w:rPr>
        <w:t xml:space="preserve"> za 202</w:t>
      </w:r>
      <w:r w:rsidR="00C05422">
        <w:rPr>
          <w:noProof/>
        </w:rPr>
        <w:t>4</w:t>
      </w:r>
      <w:r w:rsidRPr="00B776CF">
        <w:rPr>
          <w:noProof/>
        </w:rPr>
        <w:t>. godinu.</w:t>
      </w:r>
    </w:p>
    <w:p w14:paraId="29F745DB" w14:textId="77777777" w:rsidR="00B964EE" w:rsidRPr="005E3AB6" w:rsidRDefault="00B964EE" w:rsidP="005E3AB6">
      <w:pPr>
        <w:jc w:val="both"/>
        <w:outlineLvl w:val="0"/>
      </w:pPr>
    </w:p>
    <w:p w14:paraId="469D9F96" w14:textId="77777777" w:rsidR="00B776CF" w:rsidRDefault="00B776CF" w:rsidP="00D443A6">
      <w:pPr>
        <w:pStyle w:val="Odlomakpopisa"/>
        <w:numPr>
          <w:ilvl w:val="0"/>
          <w:numId w:val="2"/>
        </w:numPr>
        <w:jc w:val="both"/>
        <w:rPr>
          <w:b/>
          <w:noProof/>
        </w:rPr>
      </w:pPr>
      <w:r>
        <w:rPr>
          <w:b/>
          <w:noProof/>
        </w:rPr>
        <w:t xml:space="preserve">IZVJEŠTAJ O ZADUŽIVANJU NA DOMAĆEM I STRANOM TRŽIŠTU NOVCA I KAPITALA </w:t>
      </w:r>
    </w:p>
    <w:p w14:paraId="28001BFB" w14:textId="77777777" w:rsidR="00B776CF" w:rsidRDefault="00B776CF" w:rsidP="00B776CF">
      <w:pPr>
        <w:pStyle w:val="Odlomakpopisa"/>
        <w:ind w:left="426"/>
        <w:rPr>
          <w:noProof/>
        </w:rPr>
      </w:pPr>
    </w:p>
    <w:p w14:paraId="159944D6" w14:textId="3446DB3E" w:rsidR="00322AE0" w:rsidRDefault="00577A2A" w:rsidP="00322AE0">
      <w:pPr>
        <w:pStyle w:val="Odlomakpopisa"/>
        <w:ind w:left="426"/>
        <w:jc w:val="both"/>
      </w:pPr>
      <w:r w:rsidRPr="00304AF6">
        <w:rPr>
          <w:noProof/>
        </w:rPr>
        <w:t xml:space="preserve">Međimurska županija </w:t>
      </w:r>
      <w:r w:rsidR="0060342D">
        <w:rPr>
          <w:noProof/>
        </w:rPr>
        <w:t xml:space="preserve">se </w:t>
      </w:r>
      <w:r w:rsidRPr="00304AF6">
        <w:rPr>
          <w:noProof/>
        </w:rPr>
        <w:t>u 202</w:t>
      </w:r>
      <w:r w:rsidR="00595773">
        <w:rPr>
          <w:noProof/>
        </w:rPr>
        <w:t>4</w:t>
      </w:r>
      <w:r w:rsidRPr="00304AF6">
        <w:rPr>
          <w:noProof/>
        </w:rPr>
        <w:t xml:space="preserve">. godini </w:t>
      </w:r>
      <w:r w:rsidR="0060342D">
        <w:rPr>
          <w:noProof/>
        </w:rPr>
        <w:t xml:space="preserve">nije </w:t>
      </w:r>
      <w:r w:rsidRPr="00304AF6">
        <w:rPr>
          <w:noProof/>
        </w:rPr>
        <w:t>zaduž</w:t>
      </w:r>
      <w:r w:rsidR="0060342D">
        <w:rPr>
          <w:noProof/>
        </w:rPr>
        <w:t>ivala</w:t>
      </w:r>
      <w:r w:rsidR="002B19EE">
        <w:rPr>
          <w:noProof/>
        </w:rPr>
        <w:t xml:space="preserve">, </w:t>
      </w:r>
      <w:r w:rsidR="00B55F4B">
        <w:rPr>
          <w:noProof/>
        </w:rPr>
        <w:t xml:space="preserve">2023. godine </w:t>
      </w:r>
      <w:r w:rsidR="00322AE0">
        <w:rPr>
          <w:noProof/>
        </w:rPr>
        <w:t xml:space="preserve">evidentirala zajam iz državnog proračuna kao dug za </w:t>
      </w:r>
      <w:r w:rsidR="00322AE0">
        <w:t>Povrate po poreznim prijavama građana za 202</w:t>
      </w:r>
      <w:r w:rsidR="002B19EE">
        <w:t>2</w:t>
      </w:r>
      <w:r w:rsidR="00322AE0">
        <w:t>. godinu, koji su realizirani tijekom 202</w:t>
      </w:r>
      <w:r w:rsidR="002B19EE">
        <w:t>3</w:t>
      </w:r>
      <w:r w:rsidR="00322AE0">
        <w:t>. godine na način da su se građanima isplatila pripadajuća sredstva</w:t>
      </w:r>
      <w:r w:rsidR="00116279">
        <w:t xml:space="preserve">. </w:t>
      </w:r>
      <w:r w:rsidR="00322AE0">
        <w:t>Međimurskoj se županiji mjesečno umanjivao prihod poreza na dohodak počevši od kolovoza 202</w:t>
      </w:r>
      <w:r w:rsidR="002B19EE">
        <w:t>3</w:t>
      </w:r>
      <w:r w:rsidR="00322AE0">
        <w:t xml:space="preserve">. godine. Budući da </w:t>
      </w:r>
      <w:r w:rsidR="005B076A">
        <w:t xml:space="preserve">25% </w:t>
      </w:r>
      <w:r w:rsidR="00322AE0">
        <w:t>navedeni</w:t>
      </w:r>
      <w:r w:rsidR="005B076A">
        <w:t>h</w:t>
      </w:r>
      <w:r w:rsidR="00322AE0">
        <w:t xml:space="preserve"> porezni</w:t>
      </w:r>
      <w:r w:rsidR="005B076A">
        <w:t>h</w:t>
      </w:r>
      <w:r w:rsidR="00322AE0">
        <w:t xml:space="preserve"> prihod</w:t>
      </w:r>
      <w:r w:rsidR="005B076A">
        <w:t>a</w:t>
      </w:r>
      <w:r w:rsidR="00322AE0">
        <w:t xml:space="preserve"> ni</w:t>
      </w:r>
      <w:r w:rsidR="005B076A">
        <w:t>je</w:t>
      </w:r>
      <w:r w:rsidR="00322AE0">
        <w:t xml:space="preserve"> bil</w:t>
      </w:r>
      <w:r w:rsidR="005B076A">
        <w:t>o</w:t>
      </w:r>
      <w:r w:rsidR="00322AE0">
        <w:t xml:space="preserve"> dovoljn</w:t>
      </w:r>
      <w:r w:rsidR="005B076A">
        <w:t>o</w:t>
      </w:r>
      <w:r w:rsidR="00322AE0">
        <w:t xml:space="preserve"> </w:t>
      </w:r>
      <w:r w:rsidR="005B076A">
        <w:t>za pokriće</w:t>
      </w:r>
      <w:r w:rsidR="00322AE0">
        <w:t xml:space="preserve"> dug</w:t>
      </w:r>
      <w:r w:rsidR="005B076A">
        <w:t>a</w:t>
      </w:r>
      <w:r w:rsidR="00322AE0">
        <w:t xml:space="preserve"> prema Državnom proračunu u iznosu </w:t>
      </w:r>
      <w:r w:rsidR="002B19EE">
        <w:t xml:space="preserve">99.826,57 eura </w:t>
      </w:r>
      <w:r w:rsidR="005B076A">
        <w:t xml:space="preserve">isti se evidentira kao beskamatni zajam s rokom </w:t>
      </w:r>
      <w:r w:rsidR="00116279">
        <w:t>povrata tijekom</w:t>
      </w:r>
      <w:r w:rsidR="005B076A">
        <w:t xml:space="preserve"> 202</w:t>
      </w:r>
      <w:r w:rsidR="002B19EE">
        <w:t>4</w:t>
      </w:r>
      <w:r w:rsidR="005B076A">
        <w:t>. godine. S</w:t>
      </w:r>
      <w:r w:rsidR="00322AE0">
        <w:t>ukladno Naputku o načinu uplaćivanja prihoda proračuna, obveznih doprinosa te prihoda za financiranje drugih javnih potreba u 202</w:t>
      </w:r>
      <w:r w:rsidR="002B19EE">
        <w:t>3</w:t>
      </w:r>
      <w:r w:rsidR="00322AE0">
        <w:t xml:space="preserve">. godini (NN 11/21, 49/21 i 73/21) </w:t>
      </w:r>
      <w:r w:rsidR="005B076A">
        <w:t>tijekom 202</w:t>
      </w:r>
      <w:r w:rsidR="002B19EE">
        <w:t>4</w:t>
      </w:r>
      <w:r w:rsidR="005B076A">
        <w:t xml:space="preserve">. godine se </w:t>
      </w:r>
      <w:r w:rsidR="00322AE0">
        <w:t>s računa Međimurske županije</w:t>
      </w:r>
      <w:r w:rsidR="005B076A">
        <w:t xml:space="preserve"> umanjuje prihod s osnove poreza</w:t>
      </w:r>
      <w:r w:rsidR="00322AE0">
        <w:t xml:space="preserve"> u 4 jednaka mjesečna obroka</w:t>
      </w:r>
      <w:r w:rsidR="005B076A">
        <w:t xml:space="preserve"> po </w:t>
      </w:r>
      <w:r w:rsidR="002B19EE">
        <w:t>24.956,64</w:t>
      </w:r>
      <w:r w:rsidR="00116279">
        <w:t xml:space="preserve"> eura.</w:t>
      </w:r>
    </w:p>
    <w:p w14:paraId="79DEB6F8" w14:textId="77777777" w:rsidR="00116279" w:rsidRDefault="005B076A" w:rsidP="00116279">
      <w:pPr>
        <w:pStyle w:val="Odlomakpopisa"/>
        <w:ind w:left="426"/>
        <w:jc w:val="both"/>
      </w:pPr>
      <w:r>
        <w:t>Pregled zaduživanja proračuna i proračunskih korisnika kao i stanje obveza daje se u točkama (tabelama) u nastavku.</w:t>
      </w:r>
    </w:p>
    <w:p w14:paraId="701E2EE5" w14:textId="77777777" w:rsidR="00116279" w:rsidRPr="00DD5F2D" w:rsidRDefault="00116279" w:rsidP="00116279">
      <w:pPr>
        <w:pStyle w:val="Odlomakpopisa"/>
        <w:spacing w:after="160" w:line="259" w:lineRule="auto"/>
        <w:ind w:left="426"/>
        <w:jc w:val="both"/>
        <w:rPr>
          <w:sz w:val="22"/>
          <w:szCs w:val="22"/>
        </w:rPr>
      </w:pPr>
    </w:p>
    <w:p w14:paraId="50F9E91F" w14:textId="77777777" w:rsidR="00116279" w:rsidRDefault="00116279" w:rsidP="00116279">
      <w:pPr>
        <w:pStyle w:val="Odlomakpopisa"/>
        <w:ind w:left="426"/>
        <w:jc w:val="both"/>
        <w:rPr>
          <w:noProof/>
        </w:rPr>
        <w:sectPr w:rsidR="00116279" w:rsidSect="00CA6EE1">
          <w:headerReference w:type="even" r:id="rId15"/>
          <w:headerReference w:type="default" r:id="rId16"/>
          <w:footerReference w:type="even" r:id="rId17"/>
          <w:footerReference w:type="default" r:id="rId18"/>
          <w:headerReference w:type="first" r:id="rId19"/>
          <w:footerReference w:type="first" r:id="rId20"/>
          <w:pgSz w:w="11906" w:h="16838"/>
          <w:pgMar w:top="0" w:right="851" w:bottom="1701" w:left="1418" w:header="709" w:footer="709" w:gutter="0"/>
          <w:pgNumType w:start="0"/>
          <w:cols w:space="708"/>
          <w:titlePg/>
          <w:docGrid w:linePitch="360"/>
        </w:sectPr>
      </w:pPr>
    </w:p>
    <w:p w14:paraId="75C193C3" w14:textId="5C3B4D02" w:rsidR="00503803" w:rsidRPr="008B5B0E" w:rsidRDefault="005748A3" w:rsidP="008B5B0E">
      <w:pPr>
        <w:pStyle w:val="Odlomakpopisa"/>
        <w:numPr>
          <w:ilvl w:val="1"/>
          <w:numId w:val="2"/>
        </w:numPr>
        <w:ind w:left="426" w:firstLine="0"/>
        <w:rPr>
          <w:noProof/>
          <w:sz w:val="22"/>
          <w:szCs w:val="22"/>
        </w:rPr>
      </w:pPr>
      <w:r w:rsidRPr="008B5B0E">
        <w:rPr>
          <w:noProof/>
          <w:sz w:val="22"/>
          <w:szCs w:val="22"/>
        </w:rPr>
        <w:lastRenderedPageBreak/>
        <w:t xml:space="preserve">Pregled zaduživanja </w:t>
      </w:r>
      <w:r w:rsidR="005B076A" w:rsidRPr="008B5B0E">
        <w:rPr>
          <w:noProof/>
          <w:sz w:val="22"/>
          <w:szCs w:val="22"/>
        </w:rPr>
        <w:t xml:space="preserve">proračuna i </w:t>
      </w:r>
      <w:r w:rsidRPr="008B5B0E">
        <w:rPr>
          <w:noProof/>
          <w:sz w:val="22"/>
          <w:szCs w:val="22"/>
        </w:rPr>
        <w:t>proračunskih korisnika po vrsti instrumenta, valutnoj, kamatnoj i ročnoj strukturi</w:t>
      </w:r>
      <w:r w:rsidR="00D979AC" w:rsidRPr="008B5B0E">
        <w:rPr>
          <w:noProof/>
          <w:sz w:val="22"/>
          <w:szCs w:val="22"/>
        </w:rPr>
        <w:t xml:space="preserve"> – stanje obveza</w:t>
      </w:r>
    </w:p>
    <w:p w14:paraId="2228E7A2" w14:textId="59E35D45" w:rsidR="00503803" w:rsidRDefault="00503803" w:rsidP="00503803">
      <w:pPr>
        <w:pStyle w:val="Odlomakpopisa"/>
        <w:ind w:left="426"/>
        <w:jc w:val="both"/>
        <w:rPr>
          <w:noProof/>
        </w:rPr>
      </w:pPr>
    </w:p>
    <w:p w14:paraId="2B6748B5" w14:textId="4C7B2517" w:rsidR="00F64121" w:rsidRDefault="00981191">
      <w:pPr>
        <w:spacing w:after="160" w:line="259" w:lineRule="auto"/>
        <w:rPr>
          <w:noProof/>
        </w:rPr>
      </w:pPr>
      <w:r w:rsidRPr="00981191">
        <w:rPr>
          <w:noProof/>
        </w:rPr>
        <w:drawing>
          <wp:inline distT="0" distB="0" distL="0" distR="0" wp14:anchorId="227D3749" wp14:editId="63C17DB0">
            <wp:extent cx="9424670" cy="5281295"/>
            <wp:effectExtent l="0" t="0" r="5080" b="0"/>
            <wp:docPr id="126368098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4670" cy="5281295"/>
                    </a:xfrm>
                    <a:prstGeom prst="rect">
                      <a:avLst/>
                    </a:prstGeom>
                    <a:noFill/>
                    <a:ln>
                      <a:noFill/>
                    </a:ln>
                  </pic:spPr>
                </pic:pic>
              </a:graphicData>
            </a:graphic>
          </wp:inline>
        </w:drawing>
      </w:r>
    </w:p>
    <w:p w14:paraId="632B1A8B" w14:textId="25F955C4" w:rsidR="00D75EDE" w:rsidRDefault="00D75EDE">
      <w:pPr>
        <w:spacing w:after="160" w:line="259" w:lineRule="auto"/>
        <w:rPr>
          <w:noProof/>
        </w:rPr>
        <w:sectPr w:rsidR="00D75EDE" w:rsidSect="00874E4B">
          <w:footerReference w:type="first" r:id="rId22"/>
          <w:pgSz w:w="16838" w:h="11906" w:orient="landscape"/>
          <w:pgMar w:top="1418" w:right="295" w:bottom="851" w:left="1701" w:header="709" w:footer="709" w:gutter="0"/>
          <w:cols w:space="708"/>
          <w:titlePg/>
          <w:docGrid w:linePitch="360"/>
        </w:sectPr>
      </w:pPr>
    </w:p>
    <w:p w14:paraId="07A63F82" w14:textId="77777777" w:rsidR="00C20A2C" w:rsidRDefault="00C20A2C">
      <w:pPr>
        <w:spacing w:after="160" w:line="259" w:lineRule="auto"/>
        <w:rPr>
          <w:noProof/>
        </w:rPr>
      </w:pPr>
    </w:p>
    <w:p w14:paraId="0FDF1F1E" w14:textId="77777777" w:rsidR="00C20A2C" w:rsidRDefault="00C20A2C">
      <w:pPr>
        <w:spacing w:after="160" w:line="259" w:lineRule="auto"/>
        <w:rPr>
          <w:noProof/>
        </w:rPr>
      </w:pPr>
    </w:p>
    <w:p w14:paraId="41154869" w14:textId="10FFAEB1" w:rsidR="001D3E40" w:rsidRPr="00F209EE" w:rsidRDefault="000F4450" w:rsidP="00F209EE">
      <w:pPr>
        <w:pStyle w:val="Odlomakpopisa"/>
        <w:numPr>
          <w:ilvl w:val="1"/>
          <w:numId w:val="2"/>
        </w:numPr>
        <w:jc w:val="both"/>
        <w:rPr>
          <w:noProof/>
        </w:rPr>
      </w:pPr>
      <w:r>
        <w:rPr>
          <w:noProof/>
        </w:rPr>
        <w:t>Stanje kredita i zajmova Međimurske županije i proračunskih korisnika Međimurske županije</w:t>
      </w:r>
      <w:r w:rsidR="00C76DEB">
        <w:rPr>
          <w:noProof/>
        </w:rPr>
        <w:t xml:space="preserve"> </w:t>
      </w:r>
      <w:r>
        <w:rPr>
          <w:noProof/>
        </w:rPr>
        <w:t>na dan 3</w:t>
      </w:r>
      <w:r w:rsidR="00577A2A">
        <w:rPr>
          <w:noProof/>
        </w:rPr>
        <w:t>1</w:t>
      </w:r>
      <w:r>
        <w:rPr>
          <w:noProof/>
        </w:rPr>
        <w:t xml:space="preserve">. </w:t>
      </w:r>
      <w:r w:rsidR="00577A2A">
        <w:rPr>
          <w:noProof/>
        </w:rPr>
        <w:t>prosinca</w:t>
      </w:r>
      <w:r>
        <w:rPr>
          <w:noProof/>
        </w:rPr>
        <w:t xml:space="preserve"> 202</w:t>
      </w:r>
      <w:r w:rsidR="00F56C0E">
        <w:rPr>
          <w:noProof/>
        </w:rPr>
        <w:t>4</w:t>
      </w:r>
      <w:r>
        <w:rPr>
          <w:noProof/>
        </w:rPr>
        <w:t xml:space="preserve">. </w:t>
      </w:r>
      <w:r w:rsidR="00B06985">
        <w:rPr>
          <w:noProof/>
        </w:rPr>
        <w:t>g</w:t>
      </w:r>
      <w:r>
        <w:rPr>
          <w:noProof/>
        </w:rPr>
        <w:t>odine</w:t>
      </w:r>
    </w:p>
    <w:p w14:paraId="6887C5B3" w14:textId="77777777" w:rsidR="00167FB2" w:rsidRDefault="00167FB2" w:rsidP="00F209EE">
      <w:pPr>
        <w:pStyle w:val="Odlomakpopisa"/>
        <w:ind w:left="0"/>
        <w:jc w:val="both"/>
        <w:rPr>
          <w:b/>
          <w:bCs/>
        </w:rPr>
      </w:pPr>
    </w:p>
    <w:p w14:paraId="3BB850E6" w14:textId="144A40DE" w:rsidR="00B776CF" w:rsidRDefault="001D3E40" w:rsidP="00F209EE">
      <w:pPr>
        <w:pStyle w:val="Odlomakpopisa"/>
        <w:ind w:left="0"/>
        <w:jc w:val="both"/>
        <w:rPr>
          <w:bCs/>
        </w:rPr>
      </w:pPr>
      <w:r w:rsidRPr="001D3E40">
        <w:rPr>
          <w:b/>
          <w:bCs/>
        </w:rPr>
        <w:t xml:space="preserve">Obveze za kredite i zajmove – ukupno </w:t>
      </w:r>
      <w:r w:rsidR="00981191">
        <w:rPr>
          <w:b/>
          <w:bCs/>
        </w:rPr>
        <w:t>380.479,08</w:t>
      </w:r>
      <w:r w:rsidR="00304AF6">
        <w:rPr>
          <w:b/>
          <w:bCs/>
        </w:rPr>
        <w:t xml:space="preserve"> eura</w:t>
      </w:r>
      <w:r w:rsidR="00981191">
        <w:rPr>
          <w:b/>
          <w:bCs/>
        </w:rPr>
        <w:t xml:space="preserve"> </w:t>
      </w:r>
      <w:r w:rsidR="00981191" w:rsidRPr="00981191">
        <w:t>(uključivo međusobne obveze unutar konsolidiranog proračuna)</w:t>
      </w:r>
      <w:r w:rsidR="00981191">
        <w:rPr>
          <w:b/>
          <w:bCs/>
        </w:rPr>
        <w:t xml:space="preserve"> odnosno 365.066,65 eura </w:t>
      </w:r>
      <w:r w:rsidR="00981191" w:rsidRPr="00981191">
        <w:t xml:space="preserve">(bez međusobnih obveza </w:t>
      </w:r>
      <w:r w:rsidR="00981191">
        <w:t>unutra konsolidiranog proračuna</w:t>
      </w:r>
      <w:r w:rsidR="00981191" w:rsidRPr="00981191">
        <w:t>)</w:t>
      </w:r>
      <w:r w:rsidRPr="001D3E40">
        <w:rPr>
          <w:b/>
          <w:bCs/>
        </w:rPr>
        <w:t xml:space="preserve">, </w:t>
      </w:r>
      <w:r w:rsidRPr="001D3E40">
        <w:rPr>
          <w:bCs/>
        </w:rPr>
        <w:t>najveći udio</w:t>
      </w:r>
      <w:r w:rsidRPr="001D3E40">
        <w:rPr>
          <w:b/>
          <w:bCs/>
        </w:rPr>
        <w:t xml:space="preserve"> </w:t>
      </w:r>
      <w:r w:rsidR="00F209EE">
        <w:rPr>
          <w:bCs/>
        </w:rPr>
        <w:t xml:space="preserve">predstavljaju obveze </w:t>
      </w:r>
      <w:r w:rsidRPr="001D3E40">
        <w:rPr>
          <w:bCs/>
        </w:rPr>
        <w:t>Međimurske županije</w:t>
      </w:r>
      <w:r w:rsidR="00DE1684">
        <w:rPr>
          <w:bCs/>
        </w:rPr>
        <w:t xml:space="preserve"> dok se obveze OŠ Prelog i Gospodarske škole odnose na međusobne obveze između proračunskih korisnika i proračuna</w:t>
      </w:r>
      <w:r w:rsidRPr="001D3E40">
        <w:rPr>
          <w:bCs/>
        </w:rPr>
        <w:t>:</w:t>
      </w:r>
    </w:p>
    <w:p w14:paraId="14EC0072" w14:textId="0CE232EE" w:rsidR="00A70198" w:rsidRDefault="00A70198" w:rsidP="00F209EE">
      <w:pPr>
        <w:pStyle w:val="Odlomakpopisa"/>
        <w:ind w:left="0"/>
        <w:jc w:val="both"/>
        <w:rPr>
          <w:bCs/>
        </w:rPr>
      </w:pPr>
    </w:p>
    <w:p w14:paraId="27A91669" w14:textId="44DE7A6C" w:rsidR="005748A3" w:rsidRDefault="00F56C0E" w:rsidP="00AA0B06">
      <w:pPr>
        <w:jc w:val="both"/>
        <w:rPr>
          <w:b/>
          <w:noProof/>
          <w:highlight w:val="yellow"/>
        </w:rPr>
      </w:pPr>
      <w:r w:rsidRPr="00F56C0E">
        <w:rPr>
          <w:b/>
          <w:noProof/>
        </w:rPr>
        <w:drawing>
          <wp:inline distT="0" distB="0" distL="0" distR="0" wp14:anchorId="19B04A9E" wp14:editId="58C97D73">
            <wp:extent cx="5180965" cy="2799715"/>
            <wp:effectExtent l="0" t="0" r="635" b="635"/>
            <wp:docPr id="9448768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0965" cy="2799715"/>
                    </a:xfrm>
                    <a:prstGeom prst="rect">
                      <a:avLst/>
                    </a:prstGeom>
                    <a:noFill/>
                  </pic:spPr>
                </pic:pic>
              </a:graphicData>
            </a:graphic>
          </wp:inline>
        </w:drawing>
      </w:r>
    </w:p>
    <w:p w14:paraId="5E483A35" w14:textId="77777777" w:rsidR="00D75EDE" w:rsidRDefault="00D75EDE" w:rsidP="00AA0B06">
      <w:pPr>
        <w:jc w:val="both"/>
        <w:rPr>
          <w:b/>
          <w:noProof/>
          <w:highlight w:val="yellow"/>
        </w:rPr>
      </w:pPr>
    </w:p>
    <w:p w14:paraId="29333D47" w14:textId="6884F92A" w:rsidR="00EC7EE8" w:rsidRDefault="00EC7EE8">
      <w:pPr>
        <w:spacing w:after="160" w:line="259" w:lineRule="auto"/>
        <w:rPr>
          <w:b/>
          <w:noProof/>
          <w:highlight w:val="yellow"/>
        </w:rPr>
      </w:pPr>
      <w:r>
        <w:rPr>
          <w:b/>
          <w:noProof/>
          <w:highlight w:val="yellow"/>
        </w:rPr>
        <w:br w:type="page"/>
      </w:r>
    </w:p>
    <w:p w14:paraId="5057AD34" w14:textId="77777777" w:rsidR="00D75EDE" w:rsidRDefault="00D75EDE" w:rsidP="00AA0B06">
      <w:pPr>
        <w:jc w:val="both"/>
        <w:rPr>
          <w:b/>
          <w:noProof/>
          <w:highlight w:val="yellow"/>
        </w:rPr>
      </w:pPr>
    </w:p>
    <w:p w14:paraId="34B6A5C4" w14:textId="77777777" w:rsidR="00B06985" w:rsidRPr="00835663" w:rsidRDefault="00B06985" w:rsidP="00D443A6">
      <w:pPr>
        <w:pStyle w:val="Odlomakpopisa"/>
        <w:numPr>
          <w:ilvl w:val="0"/>
          <w:numId w:val="2"/>
        </w:numPr>
        <w:jc w:val="both"/>
        <w:rPr>
          <w:b/>
          <w:noProof/>
        </w:rPr>
      </w:pPr>
      <w:r w:rsidRPr="00835663">
        <w:rPr>
          <w:b/>
          <w:noProof/>
        </w:rPr>
        <w:t>IZVJEŠTAJ O KORIŠTENJU PRORAČUNSKE ZALIHE</w:t>
      </w:r>
      <w:r w:rsidR="00FE7C8D" w:rsidRPr="00835663">
        <w:rPr>
          <w:b/>
          <w:noProof/>
        </w:rPr>
        <w:t xml:space="preserve"> – TEKUĆE ZALIHE</w:t>
      </w:r>
    </w:p>
    <w:p w14:paraId="5E021A28" w14:textId="77777777" w:rsidR="00223C42" w:rsidRDefault="00223C42" w:rsidP="00223C42">
      <w:pPr>
        <w:pStyle w:val="Tijeloteksta2"/>
        <w:rPr>
          <w:rFonts w:ascii="Times New Roman" w:hAnsi="Times New Roman" w:cs="Times New Roman"/>
          <w:noProof/>
          <w:lang w:eastAsia="en-US"/>
        </w:rPr>
      </w:pPr>
    </w:p>
    <w:p w14:paraId="11B25517" w14:textId="77777777" w:rsidR="00C05975" w:rsidRDefault="00223C42" w:rsidP="00C05975">
      <w:pPr>
        <w:pStyle w:val="Tijeloteksta2"/>
        <w:jc w:val="both"/>
        <w:rPr>
          <w:rFonts w:ascii="Times New Roman" w:hAnsi="Times New Roman" w:cs="Times New Roman"/>
          <w:noProof/>
          <w:lang w:eastAsia="en-US"/>
        </w:rPr>
      </w:pPr>
      <w:r>
        <w:rPr>
          <w:rFonts w:ascii="Times New Roman" w:hAnsi="Times New Roman" w:cs="Times New Roman"/>
          <w:noProof/>
          <w:lang w:eastAsia="en-US"/>
        </w:rPr>
        <w:t>S</w:t>
      </w:r>
      <w:r w:rsidRPr="00E80A17">
        <w:rPr>
          <w:rFonts w:ascii="Times New Roman" w:hAnsi="Times New Roman" w:cs="Times New Roman"/>
          <w:noProof/>
          <w:lang w:eastAsia="en-US"/>
        </w:rPr>
        <w:t xml:space="preserve">redstva proračunske zalihe mogu se koristiti </w:t>
      </w:r>
      <w:r>
        <w:rPr>
          <w:rFonts w:ascii="Times New Roman" w:hAnsi="Times New Roman" w:cs="Times New Roman"/>
          <w:noProof/>
          <w:lang w:eastAsia="en-US"/>
        </w:rPr>
        <w:t>s</w:t>
      </w:r>
      <w:r w:rsidR="00F3573C">
        <w:rPr>
          <w:rFonts w:ascii="Times New Roman" w:hAnsi="Times New Roman" w:cs="Times New Roman"/>
          <w:noProof/>
          <w:lang w:eastAsia="en-US"/>
        </w:rPr>
        <w:t>ukladno članku 65</w:t>
      </w:r>
      <w:r w:rsidRPr="00E80A17">
        <w:rPr>
          <w:rFonts w:ascii="Times New Roman" w:hAnsi="Times New Roman" w:cs="Times New Roman"/>
          <w:noProof/>
          <w:lang w:eastAsia="en-US"/>
        </w:rPr>
        <w:t xml:space="preserve">. Zakona o proračunu („Narodne novine“ </w:t>
      </w:r>
      <w:r w:rsidR="00F3573C">
        <w:rPr>
          <w:rFonts w:ascii="Times New Roman" w:hAnsi="Times New Roman" w:cs="Times New Roman"/>
          <w:noProof/>
          <w:lang w:eastAsia="en-US"/>
        </w:rPr>
        <w:t>broj</w:t>
      </w:r>
      <w:r w:rsidR="00835663">
        <w:rPr>
          <w:rFonts w:ascii="Times New Roman" w:hAnsi="Times New Roman" w:cs="Times New Roman"/>
          <w:noProof/>
          <w:lang w:eastAsia="en-US"/>
        </w:rPr>
        <w:t xml:space="preserve"> </w:t>
      </w:r>
      <w:r w:rsidR="00F3573C">
        <w:rPr>
          <w:rFonts w:ascii="Times New Roman" w:hAnsi="Times New Roman" w:cs="Times New Roman"/>
          <w:noProof/>
          <w:lang w:eastAsia="en-US"/>
        </w:rPr>
        <w:t>144/2021</w:t>
      </w:r>
      <w:r w:rsidRPr="00E80A17">
        <w:rPr>
          <w:rFonts w:ascii="Times New Roman" w:hAnsi="Times New Roman" w:cs="Times New Roman"/>
          <w:noProof/>
          <w:lang w:eastAsia="en-US"/>
        </w:rPr>
        <w:t xml:space="preserve">) za </w:t>
      </w:r>
      <w:bookmarkStart w:id="1" w:name="_Hlk135988059"/>
      <w:r w:rsidRPr="00E80A17">
        <w:rPr>
          <w:rFonts w:ascii="Times New Roman" w:hAnsi="Times New Roman" w:cs="Times New Roman"/>
          <w:noProof/>
          <w:lang w:eastAsia="en-US"/>
        </w:rPr>
        <w:t>nepredviđene namjene za koje u proračunu nisu osigurana sredstva ili za namjene za koje se tijekom godine pokaže da za njih nisu utvrđena dostatna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w:t>
      </w:r>
      <w:bookmarkEnd w:id="1"/>
      <w:r w:rsidRPr="00E80A17">
        <w:rPr>
          <w:rFonts w:ascii="Times New Roman" w:hAnsi="Times New Roman" w:cs="Times New Roman"/>
          <w:noProof/>
          <w:lang w:eastAsia="en-US"/>
        </w:rPr>
        <w:t>.</w:t>
      </w:r>
      <w:r w:rsidR="00C05975">
        <w:rPr>
          <w:rFonts w:ascii="Times New Roman" w:hAnsi="Times New Roman" w:cs="Times New Roman"/>
          <w:noProof/>
          <w:lang w:eastAsia="en-US"/>
        </w:rPr>
        <w:t xml:space="preserve"> </w:t>
      </w:r>
    </w:p>
    <w:p w14:paraId="0176FDB2" w14:textId="4796353B" w:rsidR="009E5CF2" w:rsidRDefault="009E5CF2" w:rsidP="00C05975">
      <w:pPr>
        <w:pStyle w:val="Tijeloteksta2"/>
        <w:jc w:val="both"/>
        <w:rPr>
          <w:rFonts w:ascii="Times New Roman" w:hAnsi="Times New Roman" w:cs="Times New Roman"/>
          <w:noProof/>
          <w:lang w:eastAsia="en-US"/>
        </w:rPr>
      </w:pPr>
      <w:r w:rsidRPr="00C05975">
        <w:rPr>
          <w:rFonts w:ascii="Times New Roman" w:hAnsi="Times New Roman" w:cs="Times New Roman"/>
          <w:noProof/>
          <w:lang w:eastAsia="en-US"/>
        </w:rPr>
        <w:t>Međimurska županija je u svom proračunu za 202</w:t>
      </w:r>
      <w:r w:rsidR="00981191">
        <w:rPr>
          <w:rFonts w:ascii="Times New Roman" w:hAnsi="Times New Roman" w:cs="Times New Roman"/>
          <w:noProof/>
          <w:lang w:eastAsia="en-US"/>
        </w:rPr>
        <w:t>4</w:t>
      </w:r>
      <w:r w:rsidRPr="00C05975">
        <w:rPr>
          <w:rFonts w:ascii="Times New Roman" w:hAnsi="Times New Roman" w:cs="Times New Roman"/>
          <w:noProof/>
          <w:lang w:eastAsia="en-US"/>
        </w:rPr>
        <w:t>. godinu u sklopu Programa Financijski poslovi, Aktivnosti A101703 Tekuća zaliha osigura</w:t>
      </w:r>
      <w:r w:rsidR="00C05975" w:rsidRPr="00C05975">
        <w:rPr>
          <w:rFonts w:ascii="Times New Roman" w:hAnsi="Times New Roman" w:cs="Times New Roman"/>
          <w:noProof/>
          <w:lang w:eastAsia="en-US"/>
        </w:rPr>
        <w:t>l</w:t>
      </w:r>
      <w:r w:rsidR="00820596">
        <w:rPr>
          <w:rFonts w:ascii="Times New Roman" w:hAnsi="Times New Roman" w:cs="Times New Roman"/>
          <w:noProof/>
          <w:lang w:eastAsia="en-US"/>
        </w:rPr>
        <w:t xml:space="preserve">a sredstva u iznosu od </w:t>
      </w:r>
      <w:r w:rsidR="00EC7EE8">
        <w:rPr>
          <w:rFonts w:ascii="Times New Roman" w:hAnsi="Times New Roman" w:cs="Times New Roman"/>
          <w:noProof/>
          <w:lang w:eastAsia="en-US"/>
        </w:rPr>
        <w:t>10.000</w:t>
      </w:r>
      <w:r w:rsidR="007262DF">
        <w:rPr>
          <w:rFonts w:ascii="Times New Roman" w:hAnsi="Times New Roman" w:cs="Times New Roman"/>
          <w:noProof/>
          <w:lang w:eastAsia="en-US"/>
        </w:rPr>
        <w:t>,00</w:t>
      </w:r>
      <w:r w:rsidRPr="00C05975">
        <w:rPr>
          <w:rFonts w:ascii="Times New Roman" w:hAnsi="Times New Roman" w:cs="Times New Roman"/>
          <w:noProof/>
          <w:lang w:eastAsia="en-US"/>
        </w:rPr>
        <w:t xml:space="preserve"> </w:t>
      </w:r>
      <w:r w:rsidR="007262DF">
        <w:rPr>
          <w:rFonts w:ascii="Times New Roman" w:hAnsi="Times New Roman" w:cs="Times New Roman"/>
          <w:noProof/>
          <w:lang w:eastAsia="en-US"/>
        </w:rPr>
        <w:t>eura</w:t>
      </w:r>
      <w:r w:rsidRPr="00C05975">
        <w:rPr>
          <w:rFonts w:ascii="Times New Roman" w:hAnsi="Times New Roman" w:cs="Times New Roman"/>
          <w:noProof/>
          <w:lang w:eastAsia="en-US"/>
        </w:rPr>
        <w:t xml:space="preserve">. Navedena sredstva su predviđena </w:t>
      </w:r>
      <w:r w:rsidR="007262DF">
        <w:rPr>
          <w:rFonts w:ascii="Times New Roman" w:hAnsi="Times New Roman" w:cs="Times New Roman"/>
          <w:noProof/>
          <w:lang w:eastAsia="en-US"/>
        </w:rPr>
        <w:t>kao</w:t>
      </w:r>
      <w:r w:rsidRPr="00C05975">
        <w:rPr>
          <w:rFonts w:ascii="Times New Roman" w:hAnsi="Times New Roman" w:cs="Times New Roman"/>
          <w:noProof/>
          <w:lang w:eastAsia="en-US"/>
        </w:rPr>
        <w:t xml:space="preserve"> pomoći za nepredviđene događaje i situacije. U nastavku slijedi prikaz izvršenih isplata temeljem akata donesenih od strane župana.</w:t>
      </w:r>
    </w:p>
    <w:p w14:paraId="4CEF3AD4" w14:textId="77777777" w:rsidR="00FB38A3" w:rsidRDefault="00FB38A3" w:rsidP="00C05975">
      <w:pPr>
        <w:pStyle w:val="Tijeloteksta2"/>
        <w:jc w:val="both"/>
        <w:rPr>
          <w:rFonts w:ascii="Times New Roman" w:hAnsi="Times New Roman" w:cs="Times New Roman"/>
          <w:noProof/>
          <w:lang w:eastAsia="en-US"/>
        </w:rPr>
      </w:pPr>
    </w:p>
    <w:p w14:paraId="7B91745A" w14:textId="7B1551D1" w:rsidR="005A4AD8" w:rsidRDefault="00EC7EE8" w:rsidP="005A4AD8">
      <w:pPr>
        <w:jc w:val="both"/>
      </w:pPr>
      <w:r>
        <w:rPr>
          <w:noProof/>
        </w:rPr>
        <w:drawing>
          <wp:inline distT="0" distB="0" distL="0" distR="0" wp14:anchorId="7BF0B9E1" wp14:editId="2D35DD1F">
            <wp:extent cx="6119495" cy="3214370"/>
            <wp:effectExtent l="0" t="0" r="0" b="5080"/>
            <wp:docPr id="17816406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40635" name=""/>
                    <pic:cNvPicPr/>
                  </pic:nvPicPr>
                  <pic:blipFill>
                    <a:blip r:embed="rId24"/>
                    <a:stretch>
                      <a:fillRect/>
                    </a:stretch>
                  </pic:blipFill>
                  <pic:spPr>
                    <a:xfrm>
                      <a:off x="0" y="0"/>
                      <a:ext cx="6119495" cy="3214370"/>
                    </a:xfrm>
                    <a:prstGeom prst="rect">
                      <a:avLst/>
                    </a:prstGeom>
                  </pic:spPr>
                </pic:pic>
              </a:graphicData>
            </a:graphic>
          </wp:inline>
        </w:drawing>
      </w:r>
    </w:p>
    <w:p w14:paraId="6BD98853" w14:textId="77777777" w:rsidR="00B06985" w:rsidRDefault="00B06985" w:rsidP="00B06985">
      <w:pPr>
        <w:pStyle w:val="Odlomakpopisa"/>
        <w:ind w:left="0"/>
        <w:jc w:val="both"/>
        <w:rPr>
          <w:b/>
          <w:noProof/>
        </w:rPr>
      </w:pPr>
    </w:p>
    <w:p w14:paraId="134FDB48" w14:textId="77777777" w:rsidR="00424156" w:rsidRDefault="00424156" w:rsidP="00D443A6">
      <w:pPr>
        <w:pStyle w:val="Odlomakpopisa"/>
        <w:numPr>
          <w:ilvl w:val="0"/>
          <w:numId w:val="2"/>
        </w:numPr>
        <w:jc w:val="both"/>
        <w:rPr>
          <w:b/>
          <w:noProof/>
        </w:rPr>
      </w:pPr>
      <w:r>
        <w:rPr>
          <w:b/>
          <w:noProof/>
        </w:rPr>
        <w:t>IZVJEŠTAJ O DANIM JAMSTVIMA I IZDACIMA PO JAMSTVIMA</w:t>
      </w:r>
    </w:p>
    <w:p w14:paraId="13CFA0F9" w14:textId="77777777" w:rsidR="0065322B" w:rsidRDefault="0065322B" w:rsidP="0065322B">
      <w:pPr>
        <w:pStyle w:val="Tijeloteksta2"/>
        <w:ind w:left="360"/>
        <w:jc w:val="both"/>
        <w:rPr>
          <w:rFonts w:ascii="Times New Roman" w:hAnsi="Times New Roman" w:cs="Times New Roman"/>
          <w:lang w:eastAsia="en-US"/>
        </w:rPr>
      </w:pPr>
    </w:p>
    <w:p w14:paraId="34F51620" w14:textId="554EA966" w:rsidR="0065322B" w:rsidRPr="0065322B" w:rsidRDefault="0065322B" w:rsidP="0065322B">
      <w:pPr>
        <w:pStyle w:val="Tijeloteksta2"/>
        <w:ind w:left="360"/>
        <w:jc w:val="both"/>
        <w:rPr>
          <w:rFonts w:ascii="Times New Roman" w:hAnsi="Times New Roman" w:cs="Times New Roman"/>
          <w:lang w:eastAsia="en-US"/>
        </w:rPr>
      </w:pPr>
      <w:r>
        <w:rPr>
          <w:rFonts w:ascii="Times New Roman" w:hAnsi="Times New Roman" w:cs="Times New Roman"/>
          <w:lang w:eastAsia="en-US"/>
        </w:rPr>
        <w:t xml:space="preserve">Tijekom </w:t>
      </w:r>
      <w:r w:rsidRPr="00FF52E3">
        <w:rPr>
          <w:rFonts w:ascii="Times New Roman" w:hAnsi="Times New Roman" w:cs="Times New Roman"/>
          <w:lang w:eastAsia="en-US"/>
        </w:rPr>
        <w:t>20</w:t>
      </w:r>
      <w:r>
        <w:rPr>
          <w:rFonts w:ascii="Times New Roman" w:hAnsi="Times New Roman" w:cs="Times New Roman"/>
          <w:lang w:eastAsia="en-US"/>
        </w:rPr>
        <w:t>2</w:t>
      </w:r>
      <w:r w:rsidR="00981191">
        <w:rPr>
          <w:rFonts w:ascii="Times New Roman" w:hAnsi="Times New Roman" w:cs="Times New Roman"/>
          <w:lang w:eastAsia="en-US"/>
        </w:rPr>
        <w:t>4</w:t>
      </w:r>
      <w:r w:rsidRPr="00FF52E3">
        <w:rPr>
          <w:rFonts w:ascii="Times New Roman" w:hAnsi="Times New Roman" w:cs="Times New Roman"/>
          <w:lang w:eastAsia="en-US"/>
        </w:rPr>
        <w:t>. godin</w:t>
      </w:r>
      <w:r>
        <w:rPr>
          <w:rFonts w:ascii="Times New Roman" w:hAnsi="Times New Roman" w:cs="Times New Roman"/>
          <w:lang w:eastAsia="en-US"/>
        </w:rPr>
        <w:t>e</w:t>
      </w:r>
      <w:r w:rsidRPr="00FF52E3">
        <w:rPr>
          <w:rFonts w:ascii="Times New Roman" w:hAnsi="Times New Roman" w:cs="Times New Roman"/>
          <w:lang w:eastAsia="en-US"/>
        </w:rPr>
        <w:t xml:space="preserve"> </w:t>
      </w:r>
      <w:r>
        <w:rPr>
          <w:rFonts w:ascii="Times New Roman" w:hAnsi="Times New Roman" w:cs="Times New Roman"/>
          <w:lang w:eastAsia="en-US"/>
        </w:rPr>
        <w:t>Međimurska županija nema evidentirana izdana</w:t>
      </w:r>
      <w:r w:rsidRPr="00FF52E3">
        <w:rPr>
          <w:rFonts w:ascii="Times New Roman" w:hAnsi="Times New Roman" w:cs="Times New Roman"/>
          <w:lang w:eastAsia="en-US"/>
        </w:rPr>
        <w:t xml:space="preserve"> nova jamstva</w:t>
      </w:r>
      <w:r>
        <w:rPr>
          <w:rFonts w:ascii="Times New Roman" w:hAnsi="Times New Roman" w:cs="Times New Roman"/>
          <w:lang w:eastAsia="en-US"/>
        </w:rPr>
        <w:t xml:space="preserve"> pravnim osobama u vlasništvu ili ustanovama čiji je osnivač</w:t>
      </w:r>
      <w:r w:rsidRPr="00FF52E3">
        <w:rPr>
          <w:rFonts w:ascii="Times New Roman" w:hAnsi="Times New Roman" w:cs="Times New Roman"/>
          <w:lang w:eastAsia="en-US"/>
        </w:rPr>
        <w:t>,</w:t>
      </w:r>
      <w:r>
        <w:rPr>
          <w:rFonts w:ascii="Times New Roman" w:hAnsi="Times New Roman" w:cs="Times New Roman"/>
          <w:lang w:eastAsia="en-US"/>
        </w:rPr>
        <w:t xml:space="preserve"> te nije</w:t>
      </w:r>
      <w:r w:rsidRPr="00FF52E3">
        <w:rPr>
          <w:rFonts w:ascii="Times New Roman" w:hAnsi="Times New Roman" w:cs="Times New Roman"/>
          <w:lang w:eastAsia="en-US"/>
        </w:rPr>
        <w:t xml:space="preserve"> bilo protestiranih jamstava.</w:t>
      </w:r>
      <w:r>
        <w:rPr>
          <w:rFonts w:ascii="Times New Roman" w:hAnsi="Times New Roman" w:cs="Times New Roman"/>
          <w:lang w:eastAsia="en-US"/>
        </w:rPr>
        <w:t xml:space="preserve"> Jamstva/suglasnosti izdana su od strane Međimurske županije prema Ministarstvu financija</w:t>
      </w:r>
      <w:r w:rsidR="00981191">
        <w:rPr>
          <w:rFonts w:ascii="Times New Roman" w:hAnsi="Times New Roman" w:cs="Times New Roman"/>
          <w:lang w:eastAsia="en-US"/>
        </w:rPr>
        <w:t xml:space="preserve">. </w:t>
      </w:r>
      <w:r w:rsidRPr="005456D9">
        <w:rPr>
          <w:rFonts w:ascii="Times New Roman" w:hAnsi="Times New Roman" w:cs="Times New Roman"/>
          <w:b/>
          <w:bCs/>
          <w:lang w:eastAsia="en-US"/>
        </w:rPr>
        <w:t xml:space="preserve">Pregled </w:t>
      </w:r>
      <w:r w:rsidRPr="000F3797">
        <w:rPr>
          <w:rFonts w:ascii="Times New Roman" w:hAnsi="Times New Roman" w:cs="Times New Roman"/>
          <w:b/>
          <w:bCs/>
          <w:lang w:eastAsia="en-US"/>
        </w:rPr>
        <w:t>danih jamstva</w:t>
      </w:r>
      <w:bookmarkStart w:id="2" w:name="_Hlk128055999"/>
      <w:bookmarkEnd w:id="2"/>
      <w:r>
        <w:rPr>
          <w:rFonts w:ascii="Times New Roman" w:hAnsi="Times New Roman" w:cs="Times New Roman"/>
          <w:lang w:eastAsia="en-US"/>
        </w:rPr>
        <w:t xml:space="preserve"> evidentiranih u </w:t>
      </w:r>
      <w:proofErr w:type="spellStart"/>
      <w:r>
        <w:rPr>
          <w:rFonts w:ascii="Times New Roman" w:hAnsi="Times New Roman" w:cs="Times New Roman"/>
          <w:lang w:eastAsia="en-US"/>
        </w:rPr>
        <w:t>izvanbilančnoj</w:t>
      </w:r>
      <w:proofErr w:type="spellEnd"/>
      <w:r>
        <w:rPr>
          <w:rFonts w:ascii="Times New Roman" w:hAnsi="Times New Roman" w:cs="Times New Roman"/>
          <w:lang w:eastAsia="en-US"/>
        </w:rPr>
        <w:t xml:space="preserve"> evidenciji kako za Međimursku županiju tako i za proračunske korisnike prikazan je na kraju ovog obrazloženja u sklopu: </w:t>
      </w:r>
      <w:r w:rsidRPr="007879DC">
        <w:rPr>
          <w:rFonts w:ascii="Times New Roman" w:hAnsi="Times New Roman" w:cs="Times New Roman"/>
          <w:b/>
          <w:bCs/>
          <w:sz w:val="22"/>
          <w:szCs w:val="22"/>
          <w:lang w:eastAsia="en-US"/>
        </w:rPr>
        <w:t>Pregled uz točku 5. - Konsolidirani pregled danih jamstava Međimurske županije do 31.12.202</w:t>
      </w:r>
      <w:r w:rsidR="00981191">
        <w:rPr>
          <w:rFonts w:ascii="Times New Roman" w:hAnsi="Times New Roman" w:cs="Times New Roman"/>
          <w:b/>
          <w:bCs/>
          <w:sz w:val="22"/>
          <w:szCs w:val="22"/>
          <w:lang w:eastAsia="en-US"/>
        </w:rPr>
        <w:t>4</w:t>
      </w:r>
      <w:r w:rsidRPr="007879DC">
        <w:rPr>
          <w:rFonts w:ascii="Times New Roman" w:hAnsi="Times New Roman" w:cs="Times New Roman"/>
          <w:b/>
          <w:bCs/>
          <w:sz w:val="22"/>
          <w:szCs w:val="22"/>
          <w:lang w:eastAsia="en-US"/>
        </w:rPr>
        <w:t>. godine</w:t>
      </w:r>
      <w:r>
        <w:rPr>
          <w:rFonts w:ascii="Times New Roman" w:hAnsi="Times New Roman" w:cs="Times New Roman"/>
          <w:b/>
          <w:bCs/>
          <w:sz w:val="22"/>
          <w:szCs w:val="22"/>
          <w:lang w:eastAsia="en-US"/>
        </w:rPr>
        <w:t>.</w:t>
      </w:r>
    </w:p>
    <w:p w14:paraId="426CCC29" w14:textId="77777777" w:rsidR="002B456F" w:rsidRDefault="002B456F" w:rsidP="0065322B">
      <w:pPr>
        <w:pStyle w:val="Odlomakpopisa"/>
        <w:ind w:left="1065"/>
        <w:jc w:val="both"/>
        <w:rPr>
          <w:b/>
          <w:noProof/>
        </w:rPr>
        <w:sectPr w:rsidR="002B456F" w:rsidSect="002B456F">
          <w:pgSz w:w="11906" w:h="16838"/>
          <w:pgMar w:top="295" w:right="851" w:bottom="1701" w:left="1418" w:header="709" w:footer="709" w:gutter="0"/>
          <w:pgNumType w:start="8"/>
          <w:cols w:space="708"/>
          <w:titlePg/>
          <w:docGrid w:linePitch="360"/>
        </w:sectPr>
      </w:pPr>
    </w:p>
    <w:p w14:paraId="49CE2B60" w14:textId="0E372878" w:rsidR="00C53248" w:rsidRPr="003A1319" w:rsidRDefault="0065322B" w:rsidP="00F35B6B">
      <w:pPr>
        <w:pStyle w:val="Odlomakpopisa"/>
        <w:numPr>
          <w:ilvl w:val="0"/>
          <w:numId w:val="2"/>
        </w:numPr>
        <w:jc w:val="both"/>
        <w:rPr>
          <w:lang w:eastAsia="en-US"/>
        </w:rPr>
      </w:pPr>
      <w:r w:rsidRPr="003A1319">
        <w:rPr>
          <w:b/>
          <w:noProof/>
        </w:rPr>
        <w:lastRenderedPageBreak/>
        <w:t>IZVJEŠTAJ O KORIŠTENJU SREDSTAVA EUROPSKE UNIJ</w:t>
      </w:r>
      <w:r w:rsidR="007113C3" w:rsidRPr="003A1319">
        <w:rPr>
          <w:b/>
          <w:noProof/>
        </w:rPr>
        <w:t>E</w:t>
      </w:r>
    </w:p>
    <w:p w14:paraId="41FFAE53" w14:textId="77777777" w:rsidR="007113C3" w:rsidRPr="007113C3" w:rsidRDefault="007113C3" w:rsidP="007113C3">
      <w:pPr>
        <w:pStyle w:val="Odlomakpopisa"/>
        <w:ind w:left="1065"/>
        <w:jc w:val="both"/>
        <w:rPr>
          <w:lang w:eastAsia="en-US"/>
        </w:rPr>
      </w:pPr>
    </w:p>
    <w:p w14:paraId="2C764A37" w14:textId="350ABCAA" w:rsidR="0013292D" w:rsidRDefault="007D26BB" w:rsidP="0013292D">
      <w:r w:rsidRPr="007D26BB">
        <w:rPr>
          <w:noProof/>
        </w:rPr>
        <w:drawing>
          <wp:inline distT="0" distB="0" distL="0" distR="0" wp14:anchorId="5EFA5545" wp14:editId="4AF0DDE7">
            <wp:extent cx="9424670" cy="4193540"/>
            <wp:effectExtent l="0" t="0" r="5080" b="0"/>
            <wp:docPr id="10309421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4670" cy="4193540"/>
                    </a:xfrm>
                    <a:prstGeom prst="rect">
                      <a:avLst/>
                    </a:prstGeom>
                    <a:noFill/>
                    <a:ln>
                      <a:noFill/>
                    </a:ln>
                  </pic:spPr>
                </pic:pic>
              </a:graphicData>
            </a:graphic>
          </wp:inline>
        </w:drawing>
      </w:r>
    </w:p>
    <w:p w14:paraId="310B2D1D" w14:textId="77777777" w:rsidR="0013292D" w:rsidRDefault="0013292D" w:rsidP="0013292D">
      <w:pPr>
        <w:sectPr w:rsidR="0013292D" w:rsidSect="00874E4B">
          <w:pgSz w:w="16838" w:h="11906" w:orient="landscape"/>
          <w:pgMar w:top="1418" w:right="295" w:bottom="851" w:left="1701" w:header="709" w:footer="709" w:gutter="0"/>
          <w:pgNumType w:start="10"/>
          <w:cols w:space="708"/>
          <w:titlePg/>
          <w:docGrid w:linePitch="360"/>
        </w:sectPr>
      </w:pPr>
      <w:r>
        <w:br w:type="page"/>
      </w:r>
    </w:p>
    <w:p w14:paraId="5109E8E3" w14:textId="05913050" w:rsidR="0013292D" w:rsidRDefault="000E532A" w:rsidP="0013292D">
      <w:r w:rsidRPr="000E532A">
        <w:rPr>
          <w:noProof/>
        </w:rPr>
        <w:lastRenderedPageBreak/>
        <w:drawing>
          <wp:inline distT="0" distB="0" distL="0" distR="0" wp14:anchorId="3EEE6C8C" wp14:editId="07788DEE">
            <wp:extent cx="9424670" cy="4382135"/>
            <wp:effectExtent l="0" t="0" r="5080" b="0"/>
            <wp:docPr id="21446485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4670" cy="4382135"/>
                    </a:xfrm>
                    <a:prstGeom prst="rect">
                      <a:avLst/>
                    </a:prstGeom>
                    <a:noFill/>
                    <a:ln>
                      <a:noFill/>
                    </a:ln>
                  </pic:spPr>
                </pic:pic>
              </a:graphicData>
            </a:graphic>
          </wp:inline>
        </w:drawing>
      </w:r>
    </w:p>
    <w:p w14:paraId="04383332" w14:textId="5F0F9BBC" w:rsidR="003A1319" w:rsidRDefault="003A1319">
      <w:pPr>
        <w:spacing w:after="160" w:line="259" w:lineRule="auto"/>
      </w:pPr>
      <w:r>
        <w:br w:type="page"/>
      </w:r>
    </w:p>
    <w:p w14:paraId="74D6567B" w14:textId="4A5FF7DE" w:rsidR="0013292D" w:rsidRDefault="000E532A" w:rsidP="0013292D">
      <w:r w:rsidRPr="000E532A">
        <w:rPr>
          <w:noProof/>
        </w:rPr>
        <w:lastRenderedPageBreak/>
        <w:drawing>
          <wp:inline distT="0" distB="0" distL="0" distR="0" wp14:anchorId="447551C9" wp14:editId="10421211">
            <wp:extent cx="9424670" cy="5188585"/>
            <wp:effectExtent l="0" t="0" r="5080" b="0"/>
            <wp:docPr id="114132188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4670" cy="5188585"/>
                    </a:xfrm>
                    <a:prstGeom prst="rect">
                      <a:avLst/>
                    </a:prstGeom>
                    <a:noFill/>
                    <a:ln>
                      <a:noFill/>
                    </a:ln>
                  </pic:spPr>
                </pic:pic>
              </a:graphicData>
            </a:graphic>
          </wp:inline>
        </w:drawing>
      </w:r>
    </w:p>
    <w:p w14:paraId="599C33B1" w14:textId="77777777" w:rsidR="00117B9F" w:rsidRDefault="00117B9F" w:rsidP="0013292D"/>
    <w:p w14:paraId="7B10B9C3" w14:textId="77777777" w:rsidR="0013292D" w:rsidRDefault="0013292D" w:rsidP="0013292D">
      <w:r>
        <w:br w:type="page"/>
      </w:r>
    </w:p>
    <w:p w14:paraId="4BB35B4F" w14:textId="67B18FE9" w:rsidR="0013292D" w:rsidRDefault="000E532A" w:rsidP="0013292D">
      <w:r w:rsidRPr="000E532A">
        <w:rPr>
          <w:noProof/>
        </w:rPr>
        <w:lastRenderedPageBreak/>
        <w:drawing>
          <wp:inline distT="0" distB="0" distL="0" distR="0" wp14:anchorId="77EE55EF" wp14:editId="56FACF0D">
            <wp:extent cx="9424670" cy="4845050"/>
            <wp:effectExtent l="0" t="0" r="5080" b="0"/>
            <wp:docPr id="86195283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4670" cy="4845050"/>
                    </a:xfrm>
                    <a:prstGeom prst="rect">
                      <a:avLst/>
                    </a:prstGeom>
                    <a:noFill/>
                    <a:ln>
                      <a:noFill/>
                    </a:ln>
                  </pic:spPr>
                </pic:pic>
              </a:graphicData>
            </a:graphic>
          </wp:inline>
        </w:drawing>
      </w:r>
    </w:p>
    <w:p w14:paraId="3AC2CE13" w14:textId="77777777" w:rsidR="0013292D" w:rsidRDefault="0013292D" w:rsidP="0013292D">
      <w:r>
        <w:br w:type="page"/>
      </w:r>
    </w:p>
    <w:p w14:paraId="227A748F" w14:textId="2A860811" w:rsidR="003A1319" w:rsidRDefault="000E532A" w:rsidP="0013292D">
      <w:r w:rsidRPr="000E532A">
        <w:rPr>
          <w:noProof/>
        </w:rPr>
        <w:lastRenderedPageBreak/>
        <w:drawing>
          <wp:inline distT="0" distB="0" distL="0" distR="0" wp14:anchorId="2C071519" wp14:editId="02A2751C">
            <wp:extent cx="9424670" cy="5154295"/>
            <wp:effectExtent l="0" t="0" r="5080" b="8255"/>
            <wp:docPr id="106201995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4670" cy="5154295"/>
                    </a:xfrm>
                    <a:prstGeom prst="rect">
                      <a:avLst/>
                    </a:prstGeom>
                    <a:noFill/>
                    <a:ln>
                      <a:noFill/>
                    </a:ln>
                  </pic:spPr>
                </pic:pic>
              </a:graphicData>
            </a:graphic>
          </wp:inline>
        </w:drawing>
      </w:r>
    </w:p>
    <w:p w14:paraId="5E6889B7" w14:textId="147FD244" w:rsidR="0013292D" w:rsidRDefault="0013292D" w:rsidP="0013292D"/>
    <w:p w14:paraId="69DB9A7D" w14:textId="77777777" w:rsidR="003A1319" w:rsidRDefault="003A1319" w:rsidP="0013292D"/>
    <w:p w14:paraId="3C92C7EE" w14:textId="660CBA18" w:rsidR="003A1319" w:rsidRDefault="003A1319">
      <w:pPr>
        <w:spacing w:after="160" w:line="259" w:lineRule="auto"/>
      </w:pPr>
      <w:r>
        <w:br w:type="page"/>
      </w:r>
    </w:p>
    <w:p w14:paraId="114C133F" w14:textId="36CB63C4" w:rsidR="003A1319" w:rsidRDefault="000E532A" w:rsidP="0013292D">
      <w:r w:rsidRPr="000E532A">
        <w:rPr>
          <w:noProof/>
        </w:rPr>
        <w:lastRenderedPageBreak/>
        <w:drawing>
          <wp:inline distT="0" distB="0" distL="0" distR="0" wp14:anchorId="3F27D088" wp14:editId="4791F2D2">
            <wp:extent cx="9424670" cy="5154295"/>
            <wp:effectExtent l="0" t="0" r="5080" b="8255"/>
            <wp:docPr id="1549976227"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4670" cy="5154295"/>
                    </a:xfrm>
                    <a:prstGeom prst="rect">
                      <a:avLst/>
                    </a:prstGeom>
                    <a:noFill/>
                    <a:ln>
                      <a:noFill/>
                    </a:ln>
                  </pic:spPr>
                </pic:pic>
              </a:graphicData>
            </a:graphic>
          </wp:inline>
        </w:drawing>
      </w:r>
    </w:p>
    <w:p w14:paraId="6B781103" w14:textId="77777777" w:rsidR="0013292D" w:rsidRDefault="0013292D" w:rsidP="0013292D">
      <w:r>
        <w:br w:type="page"/>
      </w:r>
    </w:p>
    <w:p w14:paraId="783190A1" w14:textId="1E45F2F8" w:rsidR="0013292D" w:rsidRDefault="000E532A" w:rsidP="0013292D">
      <w:r w:rsidRPr="000E532A">
        <w:rPr>
          <w:noProof/>
        </w:rPr>
        <w:lastRenderedPageBreak/>
        <w:drawing>
          <wp:inline distT="0" distB="0" distL="0" distR="0" wp14:anchorId="5C1546A4" wp14:editId="556947A5">
            <wp:extent cx="9424670" cy="5154295"/>
            <wp:effectExtent l="0" t="0" r="5080" b="8255"/>
            <wp:docPr id="185613586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4670" cy="5154295"/>
                    </a:xfrm>
                    <a:prstGeom prst="rect">
                      <a:avLst/>
                    </a:prstGeom>
                    <a:noFill/>
                    <a:ln>
                      <a:noFill/>
                    </a:ln>
                  </pic:spPr>
                </pic:pic>
              </a:graphicData>
            </a:graphic>
          </wp:inline>
        </w:drawing>
      </w:r>
    </w:p>
    <w:p w14:paraId="20866A19" w14:textId="77777777" w:rsidR="0013292D" w:rsidRDefault="0013292D" w:rsidP="0013292D">
      <w:r>
        <w:br w:type="page"/>
      </w:r>
    </w:p>
    <w:p w14:paraId="5FA1136D" w14:textId="07B11E6E" w:rsidR="0013292D" w:rsidRDefault="000E532A" w:rsidP="0013292D">
      <w:r w:rsidRPr="000E532A">
        <w:rPr>
          <w:noProof/>
        </w:rPr>
        <w:lastRenderedPageBreak/>
        <w:drawing>
          <wp:inline distT="0" distB="0" distL="0" distR="0" wp14:anchorId="565CA677" wp14:editId="2B22EC8B">
            <wp:extent cx="9424670" cy="5154295"/>
            <wp:effectExtent l="0" t="0" r="5080" b="8255"/>
            <wp:docPr id="52990883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24670" cy="5154295"/>
                    </a:xfrm>
                    <a:prstGeom prst="rect">
                      <a:avLst/>
                    </a:prstGeom>
                    <a:noFill/>
                    <a:ln>
                      <a:noFill/>
                    </a:ln>
                  </pic:spPr>
                </pic:pic>
              </a:graphicData>
            </a:graphic>
          </wp:inline>
        </w:drawing>
      </w:r>
    </w:p>
    <w:p w14:paraId="41732E57" w14:textId="77777777" w:rsidR="0013292D" w:rsidRDefault="0013292D" w:rsidP="0013292D">
      <w:r>
        <w:br w:type="page"/>
      </w:r>
    </w:p>
    <w:p w14:paraId="7AC58F1A" w14:textId="723CC5AE" w:rsidR="0013292D" w:rsidRDefault="000E532A" w:rsidP="0013292D">
      <w:r w:rsidRPr="000E532A">
        <w:rPr>
          <w:noProof/>
        </w:rPr>
        <w:lastRenderedPageBreak/>
        <w:drawing>
          <wp:inline distT="0" distB="0" distL="0" distR="0" wp14:anchorId="08DB527A" wp14:editId="1AC69B58">
            <wp:extent cx="9424670" cy="5299710"/>
            <wp:effectExtent l="0" t="0" r="5080" b="0"/>
            <wp:docPr id="35914445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4670" cy="5299710"/>
                    </a:xfrm>
                    <a:prstGeom prst="rect">
                      <a:avLst/>
                    </a:prstGeom>
                    <a:noFill/>
                    <a:ln>
                      <a:noFill/>
                    </a:ln>
                  </pic:spPr>
                </pic:pic>
              </a:graphicData>
            </a:graphic>
          </wp:inline>
        </w:drawing>
      </w:r>
    </w:p>
    <w:p w14:paraId="080FCDF0" w14:textId="77777777" w:rsidR="0013292D" w:rsidRDefault="0013292D" w:rsidP="0013292D">
      <w:r>
        <w:br w:type="page"/>
      </w:r>
    </w:p>
    <w:p w14:paraId="085D7B5C" w14:textId="062E231E" w:rsidR="007113C3" w:rsidRDefault="007113C3" w:rsidP="007113C3">
      <w:pPr>
        <w:rPr>
          <w:noProof/>
        </w:rPr>
        <w:sectPr w:rsidR="007113C3" w:rsidSect="007113C3">
          <w:pgSz w:w="16838" w:h="11906" w:orient="landscape"/>
          <w:pgMar w:top="1418" w:right="295" w:bottom="851" w:left="1701" w:header="709" w:footer="709" w:gutter="0"/>
          <w:pgNumType w:start="8"/>
          <w:cols w:space="708"/>
          <w:titlePg/>
          <w:docGrid w:linePitch="360"/>
        </w:sectPr>
      </w:pPr>
    </w:p>
    <w:p w14:paraId="7BC1E94B" w14:textId="5F4D2C02" w:rsidR="00C53248" w:rsidRPr="007113C3" w:rsidRDefault="00C53248" w:rsidP="00870D0C">
      <w:pPr>
        <w:pStyle w:val="Odlomakpopisa"/>
        <w:numPr>
          <w:ilvl w:val="0"/>
          <w:numId w:val="2"/>
        </w:numPr>
        <w:spacing w:after="160" w:line="259" w:lineRule="auto"/>
        <w:jc w:val="both"/>
        <w:rPr>
          <w:b/>
          <w:noProof/>
        </w:rPr>
      </w:pPr>
      <w:r w:rsidRPr="007113C3">
        <w:rPr>
          <w:b/>
          <w:noProof/>
        </w:rPr>
        <w:lastRenderedPageBreak/>
        <w:t>OBRAZLOŽENJE OSTVARENIH PRIHODA I PRIMITAKA TE RASHODA I IZDATAKA</w:t>
      </w:r>
    </w:p>
    <w:p w14:paraId="799C07D5" w14:textId="77777777" w:rsidR="00CE3AEA" w:rsidRDefault="00CE3AEA" w:rsidP="00CE3AEA">
      <w:pPr>
        <w:pStyle w:val="Odlomakpopisa"/>
        <w:ind w:left="1065"/>
        <w:jc w:val="both"/>
        <w:rPr>
          <w:b/>
          <w:noProof/>
        </w:rPr>
      </w:pPr>
    </w:p>
    <w:p w14:paraId="72B67D80" w14:textId="3EE170DE" w:rsidR="00C53248" w:rsidRDefault="00C53248" w:rsidP="00C53248">
      <w:pPr>
        <w:jc w:val="both"/>
        <w:outlineLvl w:val="0"/>
      </w:pPr>
      <w:r w:rsidRPr="005043CC">
        <w:t>Obrazloženje ostvarenja prihoda i primitaka i rashoda i izdataka za 202</w:t>
      </w:r>
      <w:r w:rsidR="00EC7EE8">
        <w:t>4</w:t>
      </w:r>
      <w:r w:rsidRPr="005043CC">
        <w:t>. godinu dopunjuje podatke iz Računa prihoda i rashoda i Računa financiranja</w:t>
      </w:r>
      <w:r w:rsidR="00227602">
        <w:t>,</w:t>
      </w:r>
      <w:r w:rsidRPr="005043CC">
        <w:t xml:space="preserve"> posebice obrazl</w:t>
      </w:r>
      <w:r>
        <w:t>oženjem</w:t>
      </w:r>
      <w:r w:rsidRPr="005043CC">
        <w:t xml:space="preserve"> odstupanja izvršenja u odnosu</w:t>
      </w:r>
      <w:r>
        <w:t xml:space="preserve"> na plan kao i na prethodno obračunsko razdoblje, a sadrži i </w:t>
      </w:r>
      <w:r w:rsidRPr="000E6DB8">
        <w:t>stanje nenaplaćenih potraživanja, stanje nepodmirenih dospjelih obveza</w:t>
      </w:r>
      <w:r>
        <w:t>, stanje novčanih sredstava proračuna i proračunskih korisnika na početku i na kraju godine</w:t>
      </w:r>
      <w:r w:rsidRPr="000E6DB8">
        <w:t xml:space="preserve"> te stanje potencijalnih obveza</w:t>
      </w:r>
      <w:r>
        <w:t xml:space="preserve"> po osnovi sudskih postupaka kako Međimurske županije tako i njenih proračunskih korisnika.</w:t>
      </w:r>
    </w:p>
    <w:p w14:paraId="5DF987D1" w14:textId="77777777" w:rsidR="00C53248" w:rsidRDefault="00C53248" w:rsidP="00C53248">
      <w:pPr>
        <w:jc w:val="both"/>
        <w:outlineLvl w:val="0"/>
      </w:pPr>
      <w:r>
        <w:t>U prikazanom izvještaju uključeni su svi prihodi i primici i rashodi i izdaci Međimurske županije i njenih proračunskih korisnika.</w:t>
      </w:r>
    </w:p>
    <w:p w14:paraId="073D33F8" w14:textId="42F4A864" w:rsidR="000418FC" w:rsidRPr="005043CC" w:rsidRDefault="000418FC" w:rsidP="00C53248">
      <w:pPr>
        <w:jc w:val="both"/>
        <w:outlineLvl w:val="0"/>
      </w:pPr>
      <w:r w:rsidRPr="000418FC">
        <w:t>U konsolidiranom financijskom izvještaju za 2024. godinu ostvarenje u izvještajnom razdoblju prethodne godine obuhvaća prihode i rashode Županijske bolnice Čakovec te je usporedivost u odnosu na prethodno razdoblje potrebno promatrati kroz pojedinačne stavke prihoda i rashoda. Ukupni prihodi i primici prethodnog razdoblja koji ne uključuju Županijsku bolnicu Čakovec iznose 86.628.954,00 eura dok su ukupni rashodi i izdaci prikazani u iznosu od 85.240.871,37 eura.</w:t>
      </w:r>
    </w:p>
    <w:p w14:paraId="48DC418E" w14:textId="77777777" w:rsidR="00C53248" w:rsidRDefault="00C53248" w:rsidP="00C53248">
      <w:pPr>
        <w:jc w:val="both"/>
        <w:outlineLvl w:val="0"/>
        <w:rPr>
          <w:b/>
        </w:rPr>
      </w:pPr>
    </w:p>
    <w:p w14:paraId="44CBBC41" w14:textId="77777777" w:rsidR="00C53248" w:rsidRPr="00890781" w:rsidRDefault="00C53248" w:rsidP="00C53248">
      <w:pPr>
        <w:jc w:val="both"/>
        <w:outlineLvl w:val="0"/>
        <w:rPr>
          <w:b/>
        </w:rPr>
      </w:pPr>
      <w:r w:rsidRPr="00890781">
        <w:rPr>
          <w:b/>
        </w:rPr>
        <w:t>Prihodi iz redovnog poslovanja </w:t>
      </w:r>
    </w:p>
    <w:p w14:paraId="062A7C48" w14:textId="77777777" w:rsidR="00890781" w:rsidRPr="00BC5BBB" w:rsidRDefault="00890781" w:rsidP="00C53248">
      <w:pPr>
        <w:jc w:val="both"/>
        <w:outlineLvl w:val="0"/>
        <w:rPr>
          <w:b/>
          <w:highlight w:val="yellow"/>
        </w:rPr>
      </w:pPr>
    </w:p>
    <w:p w14:paraId="2EE80B36" w14:textId="77777777" w:rsidR="00890781" w:rsidRPr="00890781" w:rsidRDefault="00890781" w:rsidP="00890781">
      <w:pPr>
        <w:tabs>
          <w:tab w:val="left" w:pos="1041"/>
          <w:tab w:val="left" w:pos="1906"/>
          <w:tab w:val="left" w:pos="7253"/>
          <w:tab w:val="left" w:pos="10955"/>
        </w:tabs>
        <w:jc w:val="both"/>
      </w:pPr>
      <w:r w:rsidRPr="00890781">
        <w:rPr>
          <w:b/>
          <w:bCs/>
        </w:rPr>
        <w:t>Šifra 61</w:t>
      </w:r>
      <w:r w:rsidRPr="00892061">
        <w:rPr>
          <w:b/>
          <w:bCs/>
        </w:rPr>
        <w:t xml:space="preserve">1 - Prihodi od poreza i prireza </w:t>
      </w:r>
      <w:r w:rsidRPr="00890781">
        <w:t>– obuhvaća konto 611 – ostvareni prihodi od poreza i prihoda na dohodak veći su u odnosu na prethodnu godinu za 22,9% i iznose 16.051.872,59 eura, a sastoje se od poreza i prireza na dohodak od nesamostalnog rada u iznosu od 14.615.189,93 (</w:t>
      </w:r>
      <w:proofErr w:type="spellStart"/>
      <w:r w:rsidRPr="00890781">
        <w:t>cto</w:t>
      </w:r>
      <w:proofErr w:type="spellEnd"/>
      <w:r w:rsidRPr="00890781">
        <w:t xml:space="preserve"> 6111), porez i prirez na dohodak od samostalnih djelatnosti u iznosu od 956.219,90 (</w:t>
      </w:r>
      <w:proofErr w:type="spellStart"/>
      <w:r w:rsidRPr="00890781">
        <w:t>cto</w:t>
      </w:r>
      <w:proofErr w:type="spellEnd"/>
      <w:r w:rsidRPr="00890781">
        <w:t xml:space="preserve"> 6112), porez i prirez na dohodak od imovine i imovinskih prava 548.663,40 (</w:t>
      </w:r>
      <w:proofErr w:type="spellStart"/>
      <w:r w:rsidRPr="00890781">
        <w:t>cto</w:t>
      </w:r>
      <w:proofErr w:type="spellEnd"/>
      <w:r w:rsidRPr="00890781">
        <w:t xml:space="preserve"> 6113), porez i prirez na dohodak od kapitala 1.619.026,25 eura (</w:t>
      </w:r>
      <w:proofErr w:type="spellStart"/>
      <w:r w:rsidRPr="00890781">
        <w:t>cto</w:t>
      </w:r>
      <w:proofErr w:type="spellEnd"/>
      <w:r w:rsidRPr="00890781">
        <w:t xml:space="preserve"> 6114), porez i prirez na dohodak po godišnjoj prijavi 534.290,15 eura (</w:t>
      </w:r>
      <w:proofErr w:type="spellStart"/>
      <w:r w:rsidRPr="00890781">
        <w:t>cto</w:t>
      </w:r>
      <w:proofErr w:type="spellEnd"/>
      <w:r w:rsidRPr="00890781">
        <w:t xml:space="preserve"> 6115), porez i prirez na dohodak utvrđen u postupku nadzora za prethodne godine 63.174,24 eura (</w:t>
      </w:r>
      <w:proofErr w:type="spellStart"/>
      <w:r w:rsidRPr="00890781">
        <w:t>cto</w:t>
      </w:r>
      <w:proofErr w:type="spellEnd"/>
      <w:r w:rsidRPr="00890781">
        <w:t xml:space="preserve"> 6116) i umanjenje za povrate poreza i prireza po godišnjoj prijavi u iznosu od 2.284.691,28 eura (</w:t>
      </w:r>
      <w:proofErr w:type="spellStart"/>
      <w:r w:rsidRPr="00890781">
        <w:t>cto</w:t>
      </w:r>
      <w:proofErr w:type="spellEnd"/>
      <w:r w:rsidRPr="00890781">
        <w:t xml:space="preserve"> 6117). Najveće povećanje u odnosu na prethodnu godinu vidljivo je kod poreza i prireza na dohodak od imovine i imovinskih prava te kod poreza na dohodak po godišnjoj prijavi (46% povećanje u odnosu na 2023. godinu).</w:t>
      </w:r>
    </w:p>
    <w:p w14:paraId="1702E765" w14:textId="77777777" w:rsidR="00890781" w:rsidRPr="00890781" w:rsidRDefault="00890781" w:rsidP="00890781">
      <w:pPr>
        <w:tabs>
          <w:tab w:val="left" w:pos="1041"/>
          <w:tab w:val="left" w:pos="1906"/>
          <w:tab w:val="left" w:pos="7253"/>
          <w:tab w:val="left" w:pos="10955"/>
        </w:tabs>
        <w:jc w:val="both"/>
      </w:pPr>
      <w:r w:rsidRPr="00892061">
        <w:rPr>
          <w:b/>
          <w:bCs/>
        </w:rPr>
        <w:t>Šifra 613  – Porezi na imovinu</w:t>
      </w:r>
      <w:r w:rsidRPr="00890781">
        <w:t xml:space="preserve"> – naplaćeni su u iznosu od 20.909,72 (</w:t>
      </w:r>
      <w:proofErr w:type="spellStart"/>
      <w:r w:rsidRPr="00890781">
        <w:t>cto</w:t>
      </w:r>
      <w:proofErr w:type="spellEnd"/>
      <w:r w:rsidRPr="00890781">
        <w:t xml:space="preserve"> 6132- porez na nasljedstva i darove) što je za 51,7% više u odnosu na prethodnu godinu, ali iznosom ne predstavlja značajnije odstupanje.</w:t>
      </w:r>
    </w:p>
    <w:p w14:paraId="6573B9D2" w14:textId="77777777" w:rsidR="00890781" w:rsidRPr="00890781" w:rsidRDefault="00890781" w:rsidP="00890781">
      <w:pPr>
        <w:tabs>
          <w:tab w:val="left" w:pos="1041"/>
          <w:tab w:val="left" w:pos="1906"/>
          <w:tab w:val="left" w:pos="7253"/>
          <w:tab w:val="left" w:pos="10955"/>
        </w:tabs>
        <w:jc w:val="both"/>
      </w:pPr>
      <w:r w:rsidRPr="00892061">
        <w:rPr>
          <w:b/>
          <w:bCs/>
        </w:rPr>
        <w:t xml:space="preserve">Šifra 6145 – Porezi na korištenje dobara ili izvođenje aktivnosti </w:t>
      </w:r>
      <w:r w:rsidRPr="00890781">
        <w:t>- prihod ostvaren na osnovu korištenja dobara ili izvođenje usluga prikazuje povećanje prihoda u odnosu na prethodnu godinu u visini od 11,8%. Obuhvaćeni su prihodi ostvareni od naplate poreza na cestovna motorna vozila u iznosu od 1.156.712,10 eura. Povećanje navedenih prihoda rezultat je povećanja cijena naknada kod registracije vozila u rujnu 2024. godine.</w:t>
      </w:r>
    </w:p>
    <w:p w14:paraId="32746D5A" w14:textId="77777777" w:rsidR="00890781" w:rsidRPr="00890781" w:rsidRDefault="00890781" w:rsidP="00890781">
      <w:pPr>
        <w:tabs>
          <w:tab w:val="left" w:pos="1041"/>
          <w:tab w:val="left" w:pos="1906"/>
          <w:tab w:val="left" w:pos="7253"/>
          <w:tab w:val="left" w:pos="10955"/>
        </w:tabs>
        <w:jc w:val="both"/>
      </w:pPr>
      <w:r w:rsidRPr="00892061">
        <w:rPr>
          <w:b/>
          <w:bCs/>
        </w:rPr>
        <w:t xml:space="preserve">Šifra 6147 – Porezi na dobitke od igara na sreću i ostali porezi od igara na sreću </w:t>
      </w:r>
      <w:r w:rsidRPr="00890781">
        <w:t>– naplaćeni su u iznosu od 10.926,77 eura (</w:t>
      </w:r>
      <w:proofErr w:type="spellStart"/>
      <w:r w:rsidRPr="00890781">
        <w:t>cto</w:t>
      </w:r>
      <w:proofErr w:type="spellEnd"/>
      <w:r w:rsidRPr="00890781">
        <w:t xml:space="preserve"> 6147) što je 15% manje u odnosu na prethodnu godinu, ali iznosom ne predstavlja značajnije odstupanje.</w:t>
      </w:r>
    </w:p>
    <w:p w14:paraId="3FDADDA4" w14:textId="77777777" w:rsidR="00890781" w:rsidRPr="00890781" w:rsidRDefault="00890781" w:rsidP="00890781">
      <w:pPr>
        <w:tabs>
          <w:tab w:val="left" w:pos="1041"/>
          <w:tab w:val="left" w:pos="1906"/>
          <w:tab w:val="left" w:pos="7253"/>
          <w:tab w:val="left" w:pos="10955"/>
        </w:tabs>
        <w:jc w:val="both"/>
      </w:pPr>
      <w:r w:rsidRPr="00892061">
        <w:rPr>
          <w:b/>
          <w:bCs/>
        </w:rPr>
        <w:t xml:space="preserve">Šifra 632 – Pomoći od međunarodnih organizacija te institucija i tijela EU </w:t>
      </w:r>
      <w:r w:rsidRPr="00890781">
        <w:t xml:space="preserve">– u prethodnom razdoblju naplaćene su tekuće pomoći od međunarodnih organizacija (šifra 6321) u iznosu od 21.977,17 eura od strane Međimurske županije, Osnovne škole Prelog i Doma zdravlja Čakovec i Kapitalne pomoći od međunarodnih organizacija (šifra 6322) u iznosu od 13.547,25 eura od strane OŠ Petar Zrinski Šenkovec i Doma zdravlja Čakovec. </w:t>
      </w:r>
    </w:p>
    <w:p w14:paraId="4A75C0FB" w14:textId="77777777" w:rsidR="00890781" w:rsidRPr="00890781" w:rsidRDefault="00890781" w:rsidP="00890781">
      <w:pPr>
        <w:tabs>
          <w:tab w:val="left" w:pos="1041"/>
          <w:tab w:val="left" w:pos="1906"/>
          <w:tab w:val="left" w:pos="7253"/>
          <w:tab w:val="left" w:pos="10955"/>
        </w:tabs>
        <w:jc w:val="both"/>
      </w:pPr>
    </w:p>
    <w:p w14:paraId="2279464F" w14:textId="77777777" w:rsidR="00890781" w:rsidRPr="00890781" w:rsidRDefault="00890781" w:rsidP="00890781">
      <w:pPr>
        <w:tabs>
          <w:tab w:val="left" w:pos="1041"/>
          <w:tab w:val="left" w:pos="1906"/>
          <w:tab w:val="left" w:pos="7253"/>
          <w:tab w:val="left" w:pos="10955"/>
        </w:tabs>
        <w:jc w:val="both"/>
      </w:pPr>
      <w:r w:rsidRPr="00890781">
        <w:t xml:space="preserve">Navedenih pomoći nema u ovom razdoblju, a tekuće pomoći od institucija i tijela EU (šifra 6323) odnose se na prihode Međimurske županije zbog sudjelovanja na projektima: Europe </w:t>
      </w:r>
      <w:proofErr w:type="spellStart"/>
      <w:r w:rsidRPr="00890781">
        <w:t>Direct</w:t>
      </w:r>
      <w:proofErr w:type="spellEnd"/>
      <w:r w:rsidRPr="00890781">
        <w:t xml:space="preserve"> iznos od 30.400,00 eura, EMV-LII iznos od 5.264,00 eura, projekt „No </w:t>
      </w:r>
      <w:proofErr w:type="spellStart"/>
      <w:r w:rsidRPr="00890781">
        <w:t>Boundaries</w:t>
      </w:r>
      <w:proofErr w:type="spellEnd"/>
      <w:r w:rsidRPr="00890781">
        <w:t xml:space="preserve">“ (Erasmus Sport +) u iznosu od 60.000,00 eura te projekt </w:t>
      </w:r>
      <w:proofErr w:type="spellStart"/>
      <w:r w:rsidRPr="00890781">
        <w:t>Safe</w:t>
      </w:r>
      <w:proofErr w:type="spellEnd"/>
      <w:r w:rsidRPr="00890781">
        <w:t xml:space="preserve"> </w:t>
      </w:r>
      <w:proofErr w:type="spellStart"/>
      <w:r w:rsidRPr="00890781">
        <w:t>Land</w:t>
      </w:r>
      <w:proofErr w:type="spellEnd"/>
      <w:r w:rsidRPr="00890781">
        <w:t xml:space="preserve"> u iznosu od 79.800,00 eura. Značajan udio prihoda na </w:t>
      </w:r>
      <w:r w:rsidRPr="00890781">
        <w:lastRenderedPageBreak/>
        <w:t xml:space="preserve">navedenoj poziciji evidentira Javna ustanova </w:t>
      </w:r>
      <w:proofErr w:type="spellStart"/>
      <w:r w:rsidRPr="00890781">
        <w:t>Redea</w:t>
      </w:r>
      <w:proofErr w:type="spellEnd"/>
      <w:r w:rsidRPr="00890781">
        <w:t xml:space="preserve"> u iznosu od 192.992,00 eura dok manji udio pripada OŠ </w:t>
      </w:r>
      <w:proofErr w:type="spellStart"/>
      <w:r w:rsidRPr="00890781">
        <w:t>Belica</w:t>
      </w:r>
      <w:proofErr w:type="spellEnd"/>
      <w:r w:rsidRPr="00890781">
        <w:t xml:space="preserve"> (2.329,50 eura) i OŠ Tomaša </w:t>
      </w:r>
      <w:proofErr w:type="spellStart"/>
      <w:r w:rsidRPr="00890781">
        <w:t>Goričanca</w:t>
      </w:r>
      <w:proofErr w:type="spellEnd"/>
      <w:r w:rsidRPr="00890781">
        <w:t xml:space="preserve"> Mala Subotica (9.312,00 eura).</w:t>
      </w:r>
    </w:p>
    <w:p w14:paraId="218B1879" w14:textId="77777777" w:rsidR="00890781" w:rsidRPr="00890781" w:rsidRDefault="00890781" w:rsidP="00890781">
      <w:pPr>
        <w:tabs>
          <w:tab w:val="left" w:pos="1041"/>
          <w:tab w:val="left" w:pos="1906"/>
          <w:tab w:val="left" w:pos="7253"/>
          <w:tab w:val="left" w:pos="10955"/>
        </w:tabs>
        <w:jc w:val="both"/>
      </w:pPr>
    </w:p>
    <w:p w14:paraId="70369047" w14:textId="132BA291" w:rsidR="00890781" w:rsidRPr="00890781" w:rsidRDefault="00890781" w:rsidP="00890781">
      <w:pPr>
        <w:tabs>
          <w:tab w:val="left" w:pos="1041"/>
          <w:tab w:val="left" w:pos="1906"/>
          <w:tab w:val="left" w:pos="7253"/>
          <w:tab w:val="left" w:pos="10955"/>
        </w:tabs>
        <w:jc w:val="both"/>
      </w:pPr>
      <w:r w:rsidRPr="00CB4F40">
        <w:rPr>
          <w:b/>
          <w:bCs/>
        </w:rPr>
        <w:t>Šifra 633 – Pomoći proračunu iz drugih proračuna</w:t>
      </w:r>
      <w:r w:rsidR="00CB4F40">
        <w:rPr>
          <w:b/>
          <w:bCs/>
        </w:rPr>
        <w:t xml:space="preserve"> </w:t>
      </w:r>
      <w:r w:rsidRPr="00890781">
        <w:t xml:space="preserve">– obuhvaća najvećim dijelom prihode Međimurske županije u iznosu od 5.448.401,98 eura i to: </w:t>
      </w:r>
    </w:p>
    <w:p w14:paraId="7849E814" w14:textId="77777777" w:rsidR="00890781" w:rsidRPr="00890781" w:rsidRDefault="00890781" w:rsidP="00890781">
      <w:pPr>
        <w:tabs>
          <w:tab w:val="left" w:pos="1041"/>
          <w:tab w:val="left" w:pos="1906"/>
          <w:tab w:val="left" w:pos="7253"/>
          <w:tab w:val="left" w:pos="10955"/>
        </w:tabs>
        <w:jc w:val="both"/>
      </w:pPr>
      <w:r w:rsidRPr="00CB4F40">
        <w:rPr>
          <w:b/>
          <w:bCs/>
        </w:rPr>
        <w:t>Šifra 6331 - Tekuće pomoći proračunu iz drugih proračuna</w:t>
      </w:r>
      <w:r w:rsidRPr="00890781">
        <w:t xml:space="preserve"> koji se odnose na:</w:t>
      </w:r>
    </w:p>
    <w:p w14:paraId="465943DF" w14:textId="77777777" w:rsidR="00890781" w:rsidRPr="00890781" w:rsidRDefault="00890781" w:rsidP="00890781">
      <w:pPr>
        <w:tabs>
          <w:tab w:val="left" w:pos="1041"/>
          <w:tab w:val="left" w:pos="1906"/>
          <w:tab w:val="left" w:pos="7253"/>
          <w:tab w:val="left" w:pos="10955"/>
        </w:tabs>
        <w:jc w:val="both"/>
      </w:pPr>
      <w:r w:rsidRPr="00890781">
        <w:t xml:space="preserve">- 726.710,05 eura  – tekuće pomoći iz </w:t>
      </w:r>
      <w:proofErr w:type="spellStart"/>
      <w:r w:rsidRPr="00890781">
        <w:t>drž</w:t>
      </w:r>
      <w:proofErr w:type="spellEnd"/>
      <w:r w:rsidRPr="00890781">
        <w:t>. proračuna – fiskalno izravnanje</w:t>
      </w:r>
    </w:p>
    <w:p w14:paraId="698D9E8C" w14:textId="77777777" w:rsidR="00890781" w:rsidRPr="00890781" w:rsidRDefault="00890781" w:rsidP="00890781">
      <w:pPr>
        <w:tabs>
          <w:tab w:val="left" w:pos="1041"/>
          <w:tab w:val="left" w:pos="1906"/>
          <w:tab w:val="left" w:pos="7253"/>
          <w:tab w:val="left" w:pos="10955"/>
        </w:tabs>
        <w:jc w:val="both"/>
      </w:pPr>
      <w:r w:rsidRPr="00890781">
        <w:t>- 194.147,87 eura – tekuće pomoći za izbore za EU parlament</w:t>
      </w:r>
    </w:p>
    <w:p w14:paraId="79084735" w14:textId="77777777" w:rsidR="00890781" w:rsidRPr="00890781" w:rsidRDefault="00890781" w:rsidP="00890781">
      <w:pPr>
        <w:tabs>
          <w:tab w:val="left" w:pos="1041"/>
          <w:tab w:val="left" w:pos="1906"/>
          <w:tab w:val="left" w:pos="7253"/>
          <w:tab w:val="left" w:pos="10955"/>
        </w:tabs>
        <w:jc w:val="both"/>
      </w:pPr>
      <w:r w:rsidRPr="00890781">
        <w:t>- 1.141.416,00 eura – sredstva za povjerene poslove državne uprave</w:t>
      </w:r>
    </w:p>
    <w:p w14:paraId="4DA0C11A" w14:textId="77777777" w:rsidR="00890781" w:rsidRPr="00890781" w:rsidRDefault="00890781" w:rsidP="00890781">
      <w:pPr>
        <w:tabs>
          <w:tab w:val="left" w:pos="1041"/>
          <w:tab w:val="left" w:pos="1906"/>
          <w:tab w:val="left" w:pos="7253"/>
          <w:tab w:val="left" w:pos="10955"/>
        </w:tabs>
        <w:jc w:val="both"/>
      </w:pPr>
      <w:r w:rsidRPr="00890781">
        <w:t>- 23.577,50 eura – pomoć Ministarstva rada, mirovinskog sustava, obitelji i socijalne politike za izradu Socijalnog plana</w:t>
      </w:r>
    </w:p>
    <w:p w14:paraId="2B1CDE3C" w14:textId="77777777" w:rsidR="00890781" w:rsidRPr="00890781" w:rsidRDefault="00890781" w:rsidP="00890781">
      <w:pPr>
        <w:tabs>
          <w:tab w:val="left" w:pos="1041"/>
          <w:tab w:val="left" w:pos="1906"/>
          <w:tab w:val="left" w:pos="7253"/>
          <w:tab w:val="left" w:pos="10955"/>
        </w:tabs>
        <w:jc w:val="both"/>
      </w:pPr>
      <w:r w:rsidRPr="00890781">
        <w:t>- 25.195,71 eura – refundacija pogrebnih troškova za HRVI od Ministarstva branitelja</w:t>
      </w:r>
    </w:p>
    <w:p w14:paraId="0D866AD5" w14:textId="77777777" w:rsidR="00890781" w:rsidRPr="00890781" w:rsidRDefault="00890781" w:rsidP="00890781">
      <w:pPr>
        <w:tabs>
          <w:tab w:val="left" w:pos="1041"/>
          <w:tab w:val="left" w:pos="1906"/>
          <w:tab w:val="left" w:pos="7253"/>
          <w:tab w:val="left" w:pos="10955"/>
        </w:tabs>
        <w:jc w:val="both"/>
      </w:pPr>
      <w:r w:rsidRPr="00890781">
        <w:t xml:space="preserve">- 2.937,50 eura – pomoć Ministarstva turizma za projekt Dvorac </w:t>
      </w:r>
      <w:proofErr w:type="spellStart"/>
      <w:r w:rsidRPr="00890781">
        <w:t>Feštetić</w:t>
      </w:r>
      <w:proofErr w:type="spellEnd"/>
    </w:p>
    <w:p w14:paraId="78BD2858" w14:textId="77777777" w:rsidR="00890781" w:rsidRPr="00890781" w:rsidRDefault="00890781" w:rsidP="00890781">
      <w:pPr>
        <w:tabs>
          <w:tab w:val="left" w:pos="1041"/>
          <w:tab w:val="left" w:pos="1906"/>
          <w:tab w:val="left" w:pos="7253"/>
          <w:tab w:val="left" w:pos="10955"/>
        </w:tabs>
        <w:jc w:val="both"/>
      </w:pPr>
      <w:r w:rsidRPr="00890781">
        <w:t xml:space="preserve">- 2.137,77 eura - sredstva pomoći za sufinanciranje kamata poduzetničkih  kredita </w:t>
      </w:r>
    </w:p>
    <w:p w14:paraId="0BC1B64D" w14:textId="77777777" w:rsidR="00890781" w:rsidRPr="00890781" w:rsidRDefault="00890781" w:rsidP="00890781">
      <w:pPr>
        <w:tabs>
          <w:tab w:val="left" w:pos="1041"/>
          <w:tab w:val="left" w:pos="1906"/>
          <w:tab w:val="left" w:pos="7253"/>
          <w:tab w:val="left" w:pos="10955"/>
        </w:tabs>
        <w:jc w:val="both"/>
      </w:pPr>
      <w:r w:rsidRPr="00890781">
        <w:t>- 1.976.898,92 eura - za sufinanciranje prijevoza učenika srednjih škola</w:t>
      </w:r>
    </w:p>
    <w:p w14:paraId="217B650B" w14:textId="77777777" w:rsidR="00890781" w:rsidRPr="00890781" w:rsidRDefault="00890781" w:rsidP="00890781">
      <w:pPr>
        <w:tabs>
          <w:tab w:val="left" w:pos="1041"/>
          <w:tab w:val="left" w:pos="1906"/>
          <w:tab w:val="left" w:pos="7253"/>
          <w:tab w:val="left" w:pos="10955"/>
        </w:tabs>
        <w:jc w:val="both"/>
      </w:pPr>
      <w:r w:rsidRPr="00890781">
        <w:t>- 89.100,00 eura – pomoć za izbore za Predsjednika Republike Hrvatske</w:t>
      </w:r>
    </w:p>
    <w:p w14:paraId="15E00BE6" w14:textId="77777777" w:rsidR="00890781" w:rsidRPr="00890781" w:rsidRDefault="00890781" w:rsidP="00890781">
      <w:pPr>
        <w:tabs>
          <w:tab w:val="left" w:pos="1041"/>
          <w:tab w:val="left" w:pos="1906"/>
          <w:tab w:val="left" w:pos="7253"/>
          <w:tab w:val="left" w:pos="10955"/>
        </w:tabs>
        <w:jc w:val="both"/>
      </w:pPr>
      <w:r w:rsidRPr="00890781">
        <w:t>- 264.275,89 eura – pomoć za izbore zastupnika u Hrvatski sabor</w:t>
      </w:r>
    </w:p>
    <w:p w14:paraId="4F35332C" w14:textId="77777777" w:rsidR="00890781" w:rsidRPr="00890781" w:rsidRDefault="00890781" w:rsidP="00890781">
      <w:pPr>
        <w:tabs>
          <w:tab w:val="left" w:pos="1041"/>
          <w:tab w:val="left" w:pos="1906"/>
          <w:tab w:val="left" w:pos="7253"/>
          <w:tab w:val="left" w:pos="10955"/>
        </w:tabs>
        <w:jc w:val="both"/>
      </w:pPr>
      <w:r w:rsidRPr="00890781">
        <w:t>- 73.847,70 eura – prihodi po Zahtjevu za nadoknadu sredstava za Škole jednakih mogućnosti</w:t>
      </w:r>
    </w:p>
    <w:p w14:paraId="46F8F6CD" w14:textId="77777777" w:rsidR="00890781" w:rsidRPr="00890781" w:rsidRDefault="00890781" w:rsidP="00890781">
      <w:pPr>
        <w:tabs>
          <w:tab w:val="left" w:pos="1041"/>
          <w:tab w:val="left" w:pos="1906"/>
          <w:tab w:val="left" w:pos="7253"/>
          <w:tab w:val="left" w:pos="10955"/>
        </w:tabs>
        <w:jc w:val="both"/>
      </w:pPr>
      <w:r w:rsidRPr="00890781">
        <w:t>- 29.626,50 eura – pomoć za projekt Dani za nas</w:t>
      </w:r>
    </w:p>
    <w:p w14:paraId="5820EBD1" w14:textId="77777777" w:rsidR="00890781" w:rsidRPr="00890781" w:rsidRDefault="00890781" w:rsidP="00890781">
      <w:pPr>
        <w:tabs>
          <w:tab w:val="left" w:pos="1041"/>
          <w:tab w:val="left" w:pos="1906"/>
          <w:tab w:val="left" w:pos="7253"/>
          <w:tab w:val="left" w:pos="10955"/>
        </w:tabs>
        <w:jc w:val="both"/>
      </w:pPr>
      <w:r w:rsidRPr="00890781">
        <w:t>- 95.580,00 eura – pomoć Ministarstva zdravstva za suzbijanje komaraca</w:t>
      </w:r>
    </w:p>
    <w:p w14:paraId="0203867F" w14:textId="77777777" w:rsidR="00890781" w:rsidRPr="00890781" w:rsidRDefault="00890781" w:rsidP="00890781">
      <w:pPr>
        <w:tabs>
          <w:tab w:val="left" w:pos="1041"/>
          <w:tab w:val="left" w:pos="1906"/>
          <w:tab w:val="left" w:pos="7253"/>
          <w:tab w:val="left" w:pos="10955"/>
        </w:tabs>
        <w:jc w:val="both"/>
      </w:pPr>
      <w:r w:rsidRPr="00890781">
        <w:t>- 3.466,70 eura – tekuće pomoći iz općinskih proračuna za refundaciju troškova po sporazumima</w:t>
      </w:r>
    </w:p>
    <w:p w14:paraId="5C4B7A3F" w14:textId="77777777" w:rsidR="00890781" w:rsidRPr="00890781" w:rsidRDefault="00890781" w:rsidP="00890781">
      <w:pPr>
        <w:tabs>
          <w:tab w:val="left" w:pos="1041"/>
          <w:tab w:val="left" w:pos="1906"/>
          <w:tab w:val="left" w:pos="7253"/>
          <w:tab w:val="left" w:pos="10955"/>
        </w:tabs>
        <w:jc w:val="both"/>
      </w:pPr>
      <w:r w:rsidRPr="00890781">
        <w:t xml:space="preserve">- 56.095,40 eura – tekuće pomoći općinskih proračuna – pomoć općina prema posebnim sporazumima, pomoći za sufinanciranje prijevoza učenika </w:t>
      </w:r>
    </w:p>
    <w:p w14:paraId="569DA0FF" w14:textId="77777777" w:rsidR="00890781" w:rsidRPr="00890781" w:rsidRDefault="00890781" w:rsidP="00890781">
      <w:pPr>
        <w:tabs>
          <w:tab w:val="left" w:pos="1041"/>
          <w:tab w:val="left" w:pos="1906"/>
          <w:tab w:val="left" w:pos="7253"/>
          <w:tab w:val="left" w:pos="10955"/>
        </w:tabs>
        <w:jc w:val="both"/>
      </w:pPr>
      <w:r w:rsidRPr="00890781">
        <w:t>Značajnije povećanje kod Međimurske županije u odnosu na prethodno razdoblje je vidljivo kod uplate pomoći za provođenje Izbora članova u EU parlament i Hrvatski sabor te za Izbore za predsjednika RH budući da navedenih prihoda (kao ni rashoda) nije bilo u prethodno usporedivom razdoblju.</w:t>
      </w:r>
    </w:p>
    <w:p w14:paraId="78364CDF" w14:textId="77777777" w:rsidR="00890781" w:rsidRPr="00890781" w:rsidRDefault="00890781" w:rsidP="00890781">
      <w:pPr>
        <w:tabs>
          <w:tab w:val="left" w:pos="1041"/>
          <w:tab w:val="left" w:pos="1906"/>
          <w:tab w:val="left" w:pos="7253"/>
          <w:tab w:val="left" w:pos="10955"/>
        </w:tabs>
        <w:jc w:val="both"/>
      </w:pPr>
    </w:p>
    <w:p w14:paraId="562FF8FA" w14:textId="72024270" w:rsidR="00890781" w:rsidRPr="00890781" w:rsidRDefault="00890781" w:rsidP="00890781">
      <w:pPr>
        <w:tabs>
          <w:tab w:val="left" w:pos="1041"/>
          <w:tab w:val="left" w:pos="1906"/>
          <w:tab w:val="left" w:pos="7253"/>
          <w:tab w:val="left" w:pos="10955"/>
        </w:tabs>
        <w:jc w:val="both"/>
      </w:pPr>
      <w:r w:rsidRPr="00CB4F40">
        <w:rPr>
          <w:b/>
          <w:bCs/>
        </w:rPr>
        <w:t>Šifra 6332 - Kapitalne pomoći proračunu iz drugih proračuna</w:t>
      </w:r>
      <w:r w:rsidRPr="00890781">
        <w:t xml:space="preserve"> </w:t>
      </w:r>
      <w:r w:rsidR="00CB4F40">
        <w:t xml:space="preserve">kod Međimurske županije </w:t>
      </w:r>
      <w:r w:rsidRPr="00890781">
        <w:t>se odnose na:</w:t>
      </w:r>
    </w:p>
    <w:p w14:paraId="096F734E" w14:textId="77777777" w:rsidR="00890781" w:rsidRPr="00890781" w:rsidRDefault="00890781" w:rsidP="00890781">
      <w:pPr>
        <w:tabs>
          <w:tab w:val="left" w:pos="1041"/>
          <w:tab w:val="left" w:pos="1906"/>
          <w:tab w:val="left" w:pos="7253"/>
          <w:tab w:val="left" w:pos="10955"/>
        </w:tabs>
        <w:jc w:val="both"/>
      </w:pPr>
      <w:r w:rsidRPr="00890781">
        <w:t xml:space="preserve">- 19.690,81 eura za sustav navodnjavanja </w:t>
      </w:r>
      <w:proofErr w:type="spellStart"/>
      <w:r w:rsidRPr="00890781">
        <w:t>Belica</w:t>
      </w:r>
      <w:proofErr w:type="spellEnd"/>
      <w:r w:rsidRPr="00890781">
        <w:t xml:space="preserve"> – Hrvatske vode</w:t>
      </w:r>
    </w:p>
    <w:p w14:paraId="13A71AB5" w14:textId="77777777" w:rsidR="00890781" w:rsidRPr="00890781" w:rsidRDefault="00890781" w:rsidP="00890781">
      <w:pPr>
        <w:tabs>
          <w:tab w:val="left" w:pos="1041"/>
          <w:tab w:val="left" w:pos="1906"/>
          <w:tab w:val="left" w:pos="7253"/>
          <w:tab w:val="left" w:pos="10955"/>
        </w:tabs>
        <w:jc w:val="both"/>
      </w:pPr>
      <w:r w:rsidRPr="00890781">
        <w:t>- 34.500,00 eura - pomoć Ministarstva turizma za uređenje parkirališta Muzeja Međimurja</w:t>
      </w:r>
    </w:p>
    <w:p w14:paraId="0CB83B0B" w14:textId="77777777" w:rsidR="00890781" w:rsidRPr="00890781" w:rsidRDefault="00890781" w:rsidP="00890781">
      <w:pPr>
        <w:tabs>
          <w:tab w:val="left" w:pos="1041"/>
          <w:tab w:val="left" w:pos="1906"/>
          <w:tab w:val="left" w:pos="7253"/>
          <w:tab w:val="left" w:pos="10955"/>
        </w:tabs>
        <w:jc w:val="both"/>
      </w:pPr>
      <w:r w:rsidRPr="00890781">
        <w:t xml:space="preserve">- 15.000,00 eura - pomoć kod uređenja zgrade </w:t>
      </w:r>
      <w:proofErr w:type="spellStart"/>
      <w:r w:rsidRPr="00890781">
        <w:t>Scheier</w:t>
      </w:r>
      <w:proofErr w:type="spellEnd"/>
    </w:p>
    <w:p w14:paraId="12BDCBB2" w14:textId="77777777" w:rsidR="00890781" w:rsidRPr="00890781" w:rsidRDefault="00890781" w:rsidP="00890781">
      <w:pPr>
        <w:tabs>
          <w:tab w:val="left" w:pos="1041"/>
          <w:tab w:val="left" w:pos="1906"/>
          <w:tab w:val="left" w:pos="7253"/>
          <w:tab w:val="left" w:pos="10955"/>
        </w:tabs>
        <w:jc w:val="both"/>
      </w:pPr>
      <w:r w:rsidRPr="00890781">
        <w:t>- 80.000,00 eura - pomoć Ministarstva regionalnog razvoja i fondova EU za izgradnju sportske dvorane OŠ Sveta Marija</w:t>
      </w:r>
    </w:p>
    <w:p w14:paraId="163C3612" w14:textId="77777777" w:rsidR="00890781" w:rsidRPr="00890781" w:rsidRDefault="00890781" w:rsidP="00890781">
      <w:pPr>
        <w:tabs>
          <w:tab w:val="left" w:pos="1041"/>
          <w:tab w:val="left" w:pos="1906"/>
          <w:tab w:val="left" w:pos="7253"/>
          <w:tab w:val="left" w:pos="10955"/>
        </w:tabs>
        <w:jc w:val="both"/>
      </w:pPr>
      <w:r w:rsidRPr="00890781">
        <w:t>- 49.012,55 eura za sanaciju bivših vojnih objekata u Centru znanja također od MRRFEU</w:t>
      </w:r>
    </w:p>
    <w:p w14:paraId="1EF3122E" w14:textId="77777777" w:rsidR="00890781" w:rsidRPr="00890781" w:rsidRDefault="00890781" w:rsidP="00890781">
      <w:pPr>
        <w:tabs>
          <w:tab w:val="left" w:pos="1041"/>
          <w:tab w:val="left" w:pos="1906"/>
          <w:tab w:val="left" w:pos="7253"/>
          <w:tab w:val="left" w:pos="10955"/>
        </w:tabs>
        <w:jc w:val="both"/>
      </w:pPr>
      <w:r w:rsidRPr="00890781">
        <w:t>- 352.697,36 eura – pomoć Fonda za zaštitu okoliša za projekte prilagodbe klimatskim promjenama</w:t>
      </w:r>
    </w:p>
    <w:p w14:paraId="6E0D26AE" w14:textId="77777777" w:rsidR="00890781" w:rsidRPr="00890781" w:rsidRDefault="00890781" w:rsidP="00890781">
      <w:pPr>
        <w:tabs>
          <w:tab w:val="left" w:pos="1041"/>
          <w:tab w:val="left" w:pos="1906"/>
          <w:tab w:val="left" w:pos="7253"/>
          <w:tab w:val="left" w:pos="10955"/>
        </w:tabs>
        <w:jc w:val="both"/>
      </w:pPr>
      <w:r w:rsidRPr="00890781">
        <w:t xml:space="preserve">- 154.466,30 eura – pomoć iz općinskih proračuna: općina Sv. Marija za izgradnju sportske školske dvorane (135.026,30 eura) i pomoć općine Domašinec za izgradnju Doma zdravlja u </w:t>
      </w:r>
      <w:proofErr w:type="spellStart"/>
      <w:r w:rsidRPr="00890781">
        <w:t>Domašincu</w:t>
      </w:r>
      <w:proofErr w:type="spellEnd"/>
      <w:r w:rsidRPr="00890781">
        <w:t xml:space="preserve"> (19.440,00 eura)</w:t>
      </w:r>
    </w:p>
    <w:p w14:paraId="0991D55A" w14:textId="77777777" w:rsidR="00890781" w:rsidRPr="00890781" w:rsidRDefault="00890781" w:rsidP="00890781">
      <w:pPr>
        <w:tabs>
          <w:tab w:val="left" w:pos="1041"/>
          <w:tab w:val="left" w:pos="1906"/>
          <w:tab w:val="left" w:pos="7253"/>
          <w:tab w:val="left" w:pos="10955"/>
        </w:tabs>
        <w:jc w:val="both"/>
      </w:pPr>
      <w:r w:rsidRPr="00890781">
        <w:t>- 38.021,45 eura – pomoć grada Čakovca kod izgradnje parkirališta Muzeja Međimurje</w:t>
      </w:r>
    </w:p>
    <w:p w14:paraId="3AB2A627" w14:textId="77777777" w:rsidR="00890781" w:rsidRPr="00890781" w:rsidRDefault="00890781" w:rsidP="00890781">
      <w:pPr>
        <w:tabs>
          <w:tab w:val="left" w:pos="1041"/>
          <w:tab w:val="left" w:pos="1906"/>
          <w:tab w:val="left" w:pos="7253"/>
          <w:tab w:val="left" w:pos="10955"/>
        </w:tabs>
        <w:jc w:val="both"/>
      </w:pPr>
      <w:r w:rsidRPr="00890781">
        <w:t>Značajnije povećanje u odnosu na prethodno razdoblje kod Međimurske županije je vidljivo kod ostvarenja kapitalne pomoći od strane Općine Sveta Marija za izgradnju školske sportske dvorane u OŠ Sveta Marija i pomoći Fonda za zaštitu okoliša i energetsku učinkovitost za provođenje projekata prilagodbe klimatskim promjenama na lokacijama po Međimurju.</w:t>
      </w:r>
    </w:p>
    <w:p w14:paraId="729CF271" w14:textId="77777777" w:rsidR="00890781" w:rsidRPr="00890781" w:rsidRDefault="00890781" w:rsidP="00890781">
      <w:pPr>
        <w:tabs>
          <w:tab w:val="left" w:pos="1041"/>
          <w:tab w:val="left" w:pos="1906"/>
          <w:tab w:val="left" w:pos="7253"/>
          <w:tab w:val="left" w:pos="10955"/>
        </w:tabs>
        <w:jc w:val="both"/>
      </w:pPr>
    </w:p>
    <w:p w14:paraId="0A0DD5CF" w14:textId="030C7D5C" w:rsidR="00890781" w:rsidRPr="00890781" w:rsidRDefault="00890781" w:rsidP="00890781">
      <w:pPr>
        <w:tabs>
          <w:tab w:val="left" w:pos="1041"/>
          <w:tab w:val="left" w:pos="1906"/>
          <w:tab w:val="left" w:pos="7253"/>
          <w:tab w:val="left" w:pos="10955"/>
        </w:tabs>
        <w:jc w:val="both"/>
      </w:pPr>
      <w:r w:rsidRPr="00890781">
        <w:t>Kod korisnika navedene prihode bilježe SŠ Prelog, Gimnazija Josip Slavenski., Gospodarska škola OŠ Dr. Ivana Novaka Macinec, OŠ Orehovica, OŠ Podturen, OŠ Prelog i OŠ Vinka Žganca Vratišinec</w:t>
      </w:r>
      <w:r w:rsidR="00CB4F40">
        <w:t>.</w:t>
      </w:r>
    </w:p>
    <w:p w14:paraId="4FD02A4F" w14:textId="77777777" w:rsidR="00890781" w:rsidRPr="00890781" w:rsidRDefault="00890781" w:rsidP="00890781">
      <w:pPr>
        <w:tabs>
          <w:tab w:val="left" w:pos="1041"/>
          <w:tab w:val="left" w:pos="1906"/>
          <w:tab w:val="left" w:pos="7253"/>
          <w:tab w:val="left" w:pos="10955"/>
        </w:tabs>
        <w:jc w:val="both"/>
      </w:pPr>
    </w:p>
    <w:p w14:paraId="7FF3F6CE" w14:textId="2D621850" w:rsidR="00890781" w:rsidRPr="00890781" w:rsidRDefault="00890781" w:rsidP="00890781">
      <w:pPr>
        <w:tabs>
          <w:tab w:val="left" w:pos="1041"/>
          <w:tab w:val="left" w:pos="1906"/>
          <w:tab w:val="left" w:pos="7253"/>
          <w:tab w:val="left" w:pos="10955"/>
        </w:tabs>
        <w:jc w:val="both"/>
      </w:pPr>
      <w:r w:rsidRPr="00CB4F40">
        <w:rPr>
          <w:b/>
          <w:bCs/>
        </w:rPr>
        <w:lastRenderedPageBreak/>
        <w:t xml:space="preserve">Šifra 6341 – Tekuće pomoći od izvanproračunskih korisnika </w:t>
      </w:r>
      <w:r w:rsidR="00CB4F40" w:rsidRPr="00CB4F40">
        <w:t xml:space="preserve">iznose </w:t>
      </w:r>
      <w:r w:rsidR="00CB4F40">
        <w:t xml:space="preserve">676.444,86 eura </w:t>
      </w:r>
      <w:r w:rsidR="00CB4F40">
        <w:rPr>
          <w:b/>
          <w:bCs/>
        </w:rPr>
        <w:t xml:space="preserve">- </w:t>
      </w:r>
      <w:r w:rsidRPr="00890781">
        <w:t xml:space="preserve">u prethodnom razdoblju obuhvaća najvećim dijelom prihode Županijske bolnice Čakovec u iznosu od 828.094,96 eura. U ovom obračunskom razdoblju na navedenoj poziciji najveći udio prihoda pripada Međimurskoj županiji u iznosu od 407.633,95 eura i odnosi se na tekuću pomoć Hrvatskih voda za sanaciju klizišta, navedeni iznos se na rashodovnoj strani evidentira u korist izvanproračunskog korisnika Županijske uprave za ceste u svrhu sanacije klizišta na županijskim i lokalnim cestama Međimurske županije. Preostali iznos se odnosi na prihode zdravstvenih ustanova (Zavod za hitnu medicinu 149.697,41 eura, Zavod za javno zdravstvo 44.219,22 eura, Dom zdravlja 18.564,48 eura) te škola i Javne ustanove </w:t>
      </w:r>
      <w:proofErr w:type="spellStart"/>
      <w:r w:rsidRPr="00890781">
        <w:t>Redea</w:t>
      </w:r>
      <w:proofErr w:type="spellEnd"/>
      <w:r w:rsidRPr="00890781">
        <w:t xml:space="preserve"> u manjim iznosima.</w:t>
      </w:r>
    </w:p>
    <w:p w14:paraId="4D50426F" w14:textId="77777777" w:rsidR="00890781" w:rsidRPr="00890781" w:rsidRDefault="00890781" w:rsidP="00890781">
      <w:pPr>
        <w:jc w:val="both"/>
      </w:pPr>
    </w:p>
    <w:p w14:paraId="1B117112" w14:textId="5F1A08CE" w:rsidR="00890781" w:rsidRPr="00890781" w:rsidRDefault="00890781" w:rsidP="00890781">
      <w:pPr>
        <w:jc w:val="both"/>
      </w:pPr>
      <w:r w:rsidRPr="00CB4F40">
        <w:rPr>
          <w:b/>
          <w:bCs/>
        </w:rPr>
        <w:t>Šifra 6342 – Kapitalne pomoći od izvanproračunskih korisnika</w:t>
      </w:r>
      <w:r w:rsidRPr="00890781">
        <w:t xml:space="preserve"> iznose 1.06</w:t>
      </w:r>
      <w:r w:rsidR="00CB4F40">
        <w:t>6</w:t>
      </w:r>
      <w:r w:rsidRPr="00890781">
        <w:t>.6</w:t>
      </w:r>
      <w:r w:rsidR="00CB4F40">
        <w:t>67,90</w:t>
      </w:r>
      <w:r w:rsidRPr="00890781">
        <w:t xml:space="preserve"> eura i prihod su Međimurske županije - odnosi se na pomoć u izgradnji projekta Energetske obnove Županijske bolnice Čakovec, projekt je završen 2023. godine, prihodi su naplaćeni početkom 2024. godine.</w:t>
      </w:r>
    </w:p>
    <w:p w14:paraId="072B83BA" w14:textId="77777777" w:rsidR="00890781" w:rsidRPr="00890781" w:rsidRDefault="00890781" w:rsidP="00890781">
      <w:pPr>
        <w:tabs>
          <w:tab w:val="left" w:pos="1041"/>
          <w:tab w:val="left" w:pos="1906"/>
          <w:tab w:val="left" w:pos="7253"/>
          <w:tab w:val="left" w:pos="10955"/>
        </w:tabs>
        <w:jc w:val="both"/>
      </w:pPr>
    </w:p>
    <w:p w14:paraId="2B693549" w14:textId="77777777" w:rsidR="00890781" w:rsidRPr="00890781" w:rsidRDefault="00890781" w:rsidP="00890781">
      <w:pPr>
        <w:tabs>
          <w:tab w:val="left" w:pos="1041"/>
          <w:tab w:val="left" w:pos="1906"/>
          <w:tab w:val="left" w:pos="7253"/>
          <w:tab w:val="left" w:pos="10955"/>
        </w:tabs>
        <w:jc w:val="both"/>
      </w:pPr>
      <w:r w:rsidRPr="00CB4F40">
        <w:rPr>
          <w:b/>
          <w:bCs/>
        </w:rPr>
        <w:t>Šifra 635 – Pomoći izravnanja za decentralizirane funkcije</w:t>
      </w:r>
      <w:r w:rsidRPr="00890781">
        <w:t xml:space="preserve"> – prihod Međimurske županije u iznosu od 3.079.241,16 eura:</w:t>
      </w:r>
    </w:p>
    <w:p w14:paraId="7E2E0CA1" w14:textId="77777777" w:rsidR="00890781" w:rsidRPr="00890781" w:rsidRDefault="00890781" w:rsidP="00890781">
      <w:pPr>
        <w:jc w:val="both"/>
      </w:pPr>
      <w:r w:rsidRPr="00890781">
        <w:t xml:space="preserve">Pomoći izravnanja u 2024. godini odnose se na: </w:t>
      </w:r>
    </w:p>
    <w:p w14:paraId="47A777E5" w14:textId="77777777" w:rsidR="00890781" w:rsidRPr="00890781" w:rsidRDefault="00890781" w:rsidP="00890781">
      <w:pPr>
        <w:jc w:val="both"/>
      </w:pPr>
      <w:r w:rsidRPr="00890781">
        <w:t>- 1.942.811,85 eura – tekuće pomoći izravnanja za osnovne škole u iznosu 1.473.335,10 eura, srednje škole u iznosu od 306.515,11 eura, Dom za starije i nemoćne osobe Čakovec u iznosu od 162.961,64 eura.</w:t>
      </w:r>
    </w:p>
    <w:p w14:paraId="7EAF6C52" w14:textId="77777777" w:rsidR="00890781" w:rsidRPr="00890781" w:rsidRDefault="00890781" w:rsidP="00890781">
      <w:pPr>
        <w:jc w:val="both"/>
      </w:pPr>
      <w:r w:rsidRPr="00890781">
        <w:t>- 1.136.429,31 eura - kapitalne pomoći izravnanja za osnovne škole u iznosu od 426.077,38 eura, za srednje škole u iznosu od 206.485,00 eura, Dom za starije i nemoćne osobe u iznosu od 47.061,44 eura i za zdravstvene ustanove iznos od 456.805,49 eura</w:t>
      </w:r>
    </w:p>
    <w:p w14:paraId="2ADB87B7" w14:textId="77777777" w:rsidR="00890781" w:rsidRPr="00890781" w:rsidRDefault="00890781" w:rsidP="00890781">
      <w:pPr>
        <w:jc w:val="both"/>
      </w:pPr>
    </w:p>
    <w:p w14:paraId="42F2501F" w14:textId="77777777" w:rsidR="00890781" w:rsidRPr="00890781" w:rsidRDefault="00890781" w:rsidP="00890781">
      <w:pPr>
        <w:jc w:val="both"/>
      </w:pPr>
      <w:r w:rsidRPr="00890781">
        <w:t>Pomoći izravnanja isplaćene su sukladno Odlukama o minimalnim financijskim standardima za decentralizirane funkcije za 2024. godinu i zajedno s prihodima od poreza za decentralizirane funkcije pokrivaju rashode i izdatke za financiranje decentraliziranih funkcija. Navedene su pomoći izravnanja manje u odnosu na prethodno razdoblje zbog smanjenja rashoda korisnika zdravstva (Županijska bolnica Čakovec od 2024. godine više nije proračunski korisnik Međimurske županije već Državnog proračuna).</w:t>
      </w:r>
    </w:p>
    <w:p w14:paraId="64F88A87" w14:textId="77777777" w:rsidR="00890781" w:rsidRPr="00890781" w:rsidRDefault="00890781" w:rsidP="00890781">
      <w:pPr>
        <w:jc w:val="both"/>
      </w:pPr>
    </w:p>
    <w:p w14:paraId="2DE75202" w14:textId="77777777" w:rsidR="00890781" w:rsidRPr="00890781" w:rsidRDefault="00890781" w:rsidP="00890781">
      <w:pPr>
        <w:tabs>
          <w:tab w:val="left" w:pos="1041"/>
          <w:tab w:val="left" w:pos="1906"/>
          <w:tab w:val="left" w:pos="7253"/>
          <w:tab w:val="left" w:pos="10955"/>
        </w:tabs>
        <w:jc w:val="both"/>
      </w:pPr>
      <w:bookmarkStart w:id="3" w:name="_Hlk127958803"/>
      <w:r w:rsidRPr="007226C9">
        <w:rPr>
          <w:b/>
          <w:bCs/>
        </w:rPr>
        <w:t>Šifra 6361 – Tekuće pomoći proračunskim korisnicima</w:t>
      </w:r>
      <w:r w:rsidRPr="00890781">
        <w:t xml:space="preserve"> - iznose 48.824.136,48 eura - odnose se na prihode proračunskih korisnika (osnovne i srednje škole, zdravstvene ustanove…) za pokrivanje rashoda za zaposlene i materijalnih rashoda. Razlog povećanja je prvenstveno povećanje rashoda za plaće i materijalnih prava kod korisnika.</w:t>
      </w:r>
    </w:p>
    <w:p w14:paraId="1E41DEF6" w14:textId="77777777" w:rsidR="00890781" w:rsidRPr="00890781" w:rsidRDefault="00890781" w:rsidP="00890781">
      <w:pPr>
        <w:tabs>
          <w:tab w:val="left" w:pos="1041"/>
          <w:tab w:val="left" w:pos="1906"/>
          <w:tab w:val="left" w:pos="7253"/>
          <w:tab w:val="left" w:pos="10955"/>
        </w:tabs>
        <w:jc w:val="both"/>
      </w:pPr>
    </w:p>
    <w:p w14:paraId="60133ABD" w14:textId="021836C9" w:rsidR="00890781" w:rsidRPr="00890781" w:rsidRDefault="00890781" w:rsidP="00890781">
      <w:pPr>
        <w:tabs>
          <w:tab w:val="left" w:pos="1041"/>
          <w:tab w:val="left" w:pos="1906"/>
          <w:tab w:val="left" w:pos="7253"/>
          <w:tab w:val="left" w:pos="10955"/>
        </w:tabs>
        <w:jc w:val="both"/>
      </w:pPr>
      <w:r w:rsidRPr="007226C9">
        <w:rPr>
          <w:b/>
          <w:bCs/>
        </w:rPr>
        <w:t>Šifra 6362 – Kapitalne pomoći proračunskim korisnicima</w:t>
      </w:r>
      <w:r w:rsidRPr="00890781">
        <w:t xml:space="preserve"> - iznose 402.161,</w:t>
      </w:r>
      <w:r w:rsidR="00062491">
        <w:t>38</w:t>
      </w:r>
      <w:r w:rsidRPr="00890781">
        <w:t xml:space="preserve"> eura – bilježi se značajno smanjenje u odnosu na prethodno razdoblje kod Muzeja Međimurje, u prethodnom razdoblju prihod Muzeja na ovoj stavci iznosio je 3.477.214,69 eura dok je u ovom razdoblju na navedenoj poziciji </w:t>
      </w:r>
      <w:proofErr w:type="spellStart"/>
      <w:r w:rsidRPr="00890781">
        <w:t>oprihodovano</w:t>
      </w:r>
      <w:proofErr w:type="spellEnd"/>
      <w:r w:rsidRPr="00890781">
        <w:t xml:space="preserve"> 1.926,25 eura. Prihodi Muzeja su u prethodnom razdoblju ostvareni s osnove statičke sanacije objekta Starog grada. Najveći udio kapitalne pomoći ovog razdoblja pripada školama OŠ Podturen, OŠ Prelog, OŠ Vladimira Nazora Pribislavec, OŠ Strahoninec te drugima, a najvećim dijelom služe za pokriće rashoda za nabavu udžbenika.</w:t>
      </w:r>
    </w:p>
    <w:p w14:paraId="5CC1476A" w14:textId="77777777" w:rsidR="00890781" w:rsidRPr="00890781" w:rsidRDefault="00890781" w:rsidP="00890781">
      <w:pPr>
        <w:tabs>
          <w:tab w:val="left" w:pos="1041"/>
          <w:tab w:val="left" w:pos="1906"/>
          <w:tab w:val="left" w:pos="7253"/>
          <w:tab w:val="left" w:pos="10955"/>
        </w:tabs>
        <w:jc w:val="both"/>
      </w:pPr>
    </w:p>
    <w:p w14:paraId="7DDD96C7" w14:textId="77777777" w:rsidR="00890781" w:rsidRPr="00890781" w:rsidRDefault="00890781" w:rsidP="00890781">
      <w:pPr>
        <w:tabs>
          <w:tab w:val="left" w:pos="1041"/>
          <w:tab w:val="left" w:pos="1906"/>
          <w:tab w:val="left" w:pos="7253"/>
          <w:tab w:val="left" w:pos="10955"/>
        </w:tabs>
        <w:jc w:val="both"/>
      </w:pPr>
      <w:r w:rsidRPr="007226C9">
        <w:rPr>
          <w:b/>
          <w:bCs/>
        </w:rPr>
        <w:t xml:space="preserve">Šifra 638 – Pomoći temeljem prijenosa EU sredstava iznose 3.443.583,41 eura </w:t>
      </w:r>
      <w:r w:rsidRPr="00890781">
        <w:t xml:space="preserve">– pomoći su naplaćene u manjem obimu u odnosu na prethodno razdoblje, najveći udio pripada Gospodarskoj školi Čakovec (510.537,41 eura, najviše za kapitalne prijenose u iznosu od 321.699,80 eura), slijedi Međimurska županija sa iznosom od 482.490,86 eura. U 2024. godini ostvarene su kod Međimurske županije tekuće pomoći u iznosu od 443.910,18 eura za slijedeće projekte: „Školski obroci svima“ – 7.060,97 eura (26.172,58 eura prethodna godina), projekt završen 2024. godine, - „Škole jednakih mogućnosti“ – 418.470,30 eura (597.622,44 eura prethodna godina), „Školska shema“ – 18.378,91 </w:t>
      </w:r>
      <w:r w:rsidRPr="00890781">
        <w:lastRenderedPageBreak/>
        <w:t xml:space="preserve">eura (30.499,38 eura prethodna godina), dok je kapitalne pomoći u 2024. godini Međimurska županija u ovom razdoblju ostvarila za Projekt Revitalizacija kaštela </w:t>
      </w:r>
      <w:proofErr w:type="spellStart"/>
      <w:r w:rsidRPr="00890781">
        <w:t>Feštetić</w:t>
      </w:r>
      <w:proofErr w:type="spellEnd"/>
      <w:r w:rsidRPr="00890781">
        <w:t xml:space="preserve"> u Pribislavcu u iznosu od 38.580,68 eura. </w:t>
      </w:r>
    </w:p>
    <w:p w14:paraId="38EE585D" w14:textId="77777777" w:rsidR="00890781" w:rsidRPr="00890781" w:rsidRDefault="00890781" w:rsidP="00890781">
      <w:pPr>
        <w:tabs>
          <w:tab w:val="left" w:pos="1041"/>
          <w:tab w:val="left" w:pos="1906"/>
          <w:tab w:val="left" w:pos="7253"/>
          <w:tab w:val="left" w:pos="10955"/>
        </w:tabs>
        <w:jc w:val="both"/>
      </w:pPr>
      <w:r w:rsidRPr="00890781">
        <w:t>Značajnije odstupanje u prethodnoj godini odnosi se kod Međimurske županije na tada ostvarene pomoći za: Projekt ulaganja u proširenje poduzetničke infrastrukture u Centru znanja – dodatna isplata po Zahtjevu za nadoknadu sredstava – 30.650,29 eura, Projekt - Razvojno edukacijski centar za metalsku industriju – Metalska jezgra – 70.733,31 eura – odluka o nepostojanju nepravilnosti – naknadno odobrena sredstva po Zahtjevu, Projekt Eco Bridge – 333.658,22 eura, Pomoć za statičku sanaciju – potresi – škole - 223.963,24 eura, Pomoć za statičku sanaciju – potresi – zdravstvene institucije – 488.864,32 eura.</w:t>
      </w:r>
      <w:bookmarkEnd w:id="3"/>
    </w:p>
    <w:p w14:paraId="2AC0BC3B" w14:textId="77777777" w:rsidR="00890781" w:rsidRPr="00890781" w:rsidRDefault="00890781" w:rsidP="00890781">
      <w:pPr>
        <w:tabs>
          <w:tab w:val="left" w:pos="1041"/>
          <w:tab w:val="left" w:pos="1906"/>
          <w:tab w:val="left" w:pos="7253"/>
          <w:tab w:val="left" w:pos="10955"/>
        </w:tabs>
        <w:jc w:val="both"/>
      </w:pPr>
      <w:r w:rsidRPr="007226C9">
        <w:rPr>
          <w:b/>
          <w:bCs/>
        </w:rPr>
        <w:t>Šifra 6417 - Prihodi od dobiti trgovačkih društava, kreditnih i ostalih financijskih institucija po posebnim propisima</w:t>
      </w:r>
      <w:r w:rsidRPr="00890781">
        <w:t xml:space="preserve"> – obuhvaća prihode prethodnog razdoblja Međimurske županije za ostvarenu dobit Ljekarne Čakovec dok je u ovom razdoblju Odlukom dobit Ljekarne utrošena na ulaganje u istu.</w:t>
      </w:r>
    </w:p>
    <w:p w14:paraId="3F01F21C" w14:textId="77777777" w:rsidR="00890781" w:rsidRPr="00890781" w:rsidRDefault="00890781" w:rsidP="00890781">
      <w:pPr>
        <w:tabs>
          <w:tab w:val="left" w:pos="1041"/>
          <w:tab w:val="left" w:pos="1906"/>
          <w:tab w:val="left" w:pos="7253"/>
          <w:tab w:val="left" w:pos="10955"/>
        </w:tabs>
        <w:jc w:val="both"/>
      </w:pPr>
      <w:r w:rsidRPr="007226C9">
        <w:rPr>
          <w:b/>
          <w:bCs/>
        </w:rPr>
        <w:t xml:space="preserve">Šifra 6421 – Naknada za koncesije (6421) </w:t>
      </w:r>
      <w:r w:rsidRPr="00890781">
        <w:t>– obuhvaća prihode Međimurske županije od naknade za koncesije, a najveći udio pripada naknadi za koncesije za prijevoz te plin i ambalažni otpad.</w:t>
      </w:r>
    </w:p>
    <w:p w14:paraId="48B1EB5F" w14:textId="77777777" w:rsidR="00890781" w:rsidRPr="00890781" w:rsidRDefault="00890781" w:rsidP="00890781">
      <w:pPr>
        <w:tabs>
          <w:tab w:val="left" w:pos="1041"/>
          <w:tab w:val="left" w:pos="1906"/>
          <w:tab w:val="left" w:pos="7253"/>
          <w:tab w:val="left" w:pos="10955"/>
        </w:tabs>
        <w:jc w:val="both"/>
      </w:pPr>
      <w:r w:rsidRPr="007226C9">
        <w:rPr>
          <w:b/>
          <w:bCs/>
        </w:rPr>
        <w:t>Šifra 6422 - Prihodi od zakupa i iznajmljivanja imovine</w:t>
      </w:r>
      <w:r w:rsidRPr="00890781">
        <w:t xml:space="preserve"> – obuhvaća prihode od zakupa  i iznajmljivanja imovine, prvenstveno kod Međimurske županije u iznosu od 49.322,92 eura, najviše od najma poljoprivrednog zemljišta, a manji udio u prihodima pripada OŠ Orehovica 3.980,00 eura za najam sportske dvorane.</w:t>
      </w:r>
    </w:p>
    <w:p w14:paraId="6C9F7520" w14:textId="33DA4893" w:rsidR="00890781" w:rsidRPr="00890781" w:rsidRDefault="00890781" w:rsidP="00890781">
      <w:pPr>
        <w:tabs>
          <w:tab w:val="left" w:pos="1041"/>
          <w:tab w:val="left" w:pos="1906"/>
          <w:tab w:val="left" w:pos="7253"/>
          <w:tab w:val="left" w:pos="10955"/>
        </w:tabs>
        <w:jc w:val="both"/>
      </w:pPr>
      <w:r w:rsidRPr="007226C9">
        <w:rPr>
          <w:b/>
          <w:bCs/>
        </w:rPr>
        <w:t>Šifra 6423 – Naknada za korištenje nefinancijske imovine</w:t>
      </w:r>
      <w:r w:rsidRPr="00890781">
        <w:t xml:space="preserve"> – prihod Međimurske županije, najveći udio u naplati pripada naplati naknade za korištenje naftne luke, naftovoda i eksploataciju mineralnih sirovina-Plin u iznosu od 636.622,14 eura,  naknada za otkopanu količinu </w:t>
      </w:r>
      <w:proofErr w:type="spellStart"/>
      <w:r w:rsidRPr="00890781">
        <w:t>neener</w:t>
      </w:r>
      <w:proofErr w:type="spellEnd"/>
      <w:r w:rsidRPr="00890781">
        <w:t xml:space="preserve">. min. sirovina iznosi 44.519,18 eura, a naknada za pridobivenu energiju, nafta i kondenzat iznosi 21.070,65 eura. Prihodi za </w:t>
      </w:r>
      <w:proofErr w:type="spellStart"/>
      <w:r w:rsidRPr="00890781">
        <w:t>lovozakupninu</w:t>
      </w:r>
      <w:proofErr w:type="spellEnd"/>
      <w:r w:rsidRPr="00890781">
        <w:t xml:space="preserve"> ostvareni su u iznosu od 19.394,57 eura te prihodi za promjenu namjene poljoprivrednog zemljišta u iznosu od 35.415,57 eura, dok prihod za upravljanje nekretninama i pokretninama u vlasništvu RH iznosi 739,69 eura.</w:t>
      </w:r>
    </w:p>
    <w:p w14:paraId="3C5D2FC1" w14:textId="77777777" w:rsidR="00890781" w:rsidRPr="00890781" w:rsidRDefault="00890781" w:rsidP="00890781">
      <w:pPr>
        <w:tabs>
          <w:tab w:val="left" w:pos="1041"/>
          <w:tab w:val="left" w:pos="1906"/>
          <w:tab w:val="left" w:pos="7253"/>
          <w:tab w:val="left" w:pos="10955"/>
        </w:tabs>
        <w:jc w:val="both"/>
      </w:pPr>
      <w:r w:rsidRPr="007226C9">
        <w:rPr>
          <w:b/>
          <w:bCs/>
        </w:rPr>
        <w:t>Šifra 6436 – Prihodi od kamata na dane zajmove trgovačkim društvima i obrtnicima izvan javnog sektora</w:t>
      </w:r>
      <w:r w:rsidRPr="00890781">
        <w:t xml:space="preserve"> – ostvareno kod Međimurske županije u iznosu od 14.576,80 eura kao prihod kamata s osnove prodaje zemljišta na rate. Navedeni prihod nije postojao u prethodnom razdoblju.</w:t>
      </w:r>
    </w:p>
    <w:p w14:paraId="5DFDE4F0" w14:textId="6A47DFF2" w:rsidR="00890781" w:rsidRPr="00890781" w:rsidRDefault="00890781" w:rsidP="00890781">
      <w:pPr>
        <w:tabs>
          <w:tab w:val="left" w:pos="1041"/>
          <w:tab w:val="left" w:pos="1906"/>
          <w:tab w:val="left" w:pos="7253"/>
          <w:tab w:val="left" w:pos="10955"/>
        </w:tabs>
        <w:jc w:val="both"/>
      </w:pPr>
      <w:r w:rsidRPr="00964A75">
        <w:rPr>
          <w:b/>
          <w:bCs/>
        </w:rPr>
        <w:t>Šifra 6526 – Ostali nespomenuti prihodi</w:t>
      </w:r>
      <w:r w:rsidRPr="00890781">
        <w:t xml:space="preserve"> – od ukupnih 7.41</w:t>
      </w:r>
      <w:r w:rsidR="00964A75">
        <w:t>3</w:t>
      </w:r>
      <w:r w:rsidRPr="00890781">
        <w:t>.</w:t>
      </w:r>
      <w:r w:rsidR="00964A75">
        <w:t>214</w:t>
      </w:r>
      <w:r w:rsidRPr="00890781">
        <w:t>,</w:t>
      </w:r>
      <w:r w:rsidR="00964A75">
        <w:t>88</w:t>
      </w:r>
      <w:r w:rsidRPr="00890781">
        <w:t xml:space="preserve"> eura prethodnog razdoblja najveći udio pripada Županijskoj bolnici Čakovec i iznosi 4.230.229,88 eura te se navedena pozicija prihoda značajno smanjila budući da u ovom razdoblju nema prihoda Županijske bolnice Čakovec. </w:t>
      </w:r>
    </w:p>
    <w:p w14:paraId="7044C59E" w14:textId="77777777" w:rsidR="00890781" w:rsidRPr="00890781" w:rsidRDefault="00890781" w:rsidP="00890781">
      <w:pPr>
        <w:tabs>
          <w:tab w:val="left" w:pos="1041"/>
          <w:tab w:val="left" w:pos="1906"/>
          <w:tab w:val="left" w:pos="7253"/>
          <w:tab w:val="left" w:pos="10955"/>
        </w:tabs>
        <w:jc w:val="both"/>
      </w:pPr>
      <w:r w:rsidRPr="00890781">
        <w:t xml:space="preserve">U ovom razdoblju prihodi u iznosu od 3.394.792,79 eura najvećim dijelom pripadaju Domu za starije i nemoćne osobe, a odnose se na prihode od </w:t>
      </w:r>
      <w:proofErr w:type="spellStart"/>
      <w:r w:rsidRPr="00890781">
        <w:t>opskrbnina</w:t>
      </w:r>
      <w:proofErr w:type="spellEnd"/>
      <w:r w:rsidRPr="00890781">
        <w:t xml:space="preserve"> (iznos od 1.908.813,51 eura). Međimurska županija na navedenoj stavci evidentira prodaju i tisak Službenog glasnika, povrate stipendija te povrate sredstava partnera po projektima kojih u ovom razdoblju ima znatno manje u odnosu na prethodno.</w:t>
      </w:r>
    </w:p>
    <w:p w14:paraId="195E36F6" w14:textId="562AFEC3" w:rsidR="00890781" w:rsidRPr="00890781" w:rsidRDefault="00890781" w:rsidP="00890781">
      <w:pPr>
        <w:tabs>
          <w:tab w:val="left" w:pos="1041"/>
          <w:tab w:val="left" w:pos="1906"/>
          <w:tab w:val="left" w:pos="7253"/>
          <w:tab w:val="left" w:pos="10955"/>
        </w:tabs>
        <w:jc w:val="both"/>
      </w:pPr>
      <w:r w:rsidRPr="00964A75">
        <w:rPr>
          <w:b/>
          <w:bCs/>
        </w:rPr>
        <w:t>Šifra 6631-6632 – Tekuće i Kapitalne donacije</w:t>
      </w:r>
      <w:r w:rsidRPr="00890781">
        <w:t xml:space="preserve"> – najveći udio je u prethodnom razdoblju pripadao Županijskoj bolnici Čakovec (178.747,85 eura), u ovom razdoblju od ukupnih </w:t>
      </w:r>
      <w:r w:rsidR="00964A75">
        <w:t>226.105,20 eura</w:t>
      </w:r>
      <w:r w:rsidRPr="00890781">
        <w:t xml:space="preserve"> najveći je udio primljenih donacija kod Javne ustanove za zaštitu prirode – Međimurske priroda i iznosi 80.051,97 eura.</w:t>
      </w:r>
    </w:p>
    <w:p w14:paraId="4E6F38E2" w14:textId="77777777" w:rsidR="00890781" w:rsidRPr="00890781" w:rsidRDefault="00890781" w:rsidP="00890781">
      <w:pPr>
        <w:jc w:val="both"/>
      </w:pPr>
      <w:r w:rsidRPr="00964A75">
        <w:rPr>
          <w:b/>
          <w:bCs/>
        </w:rPr>
        <w:t>Šifra 673 - Prihodi od HZZO-a na temelju ugovornih obveza</w:t>
      </w:r>
      <w:r w:rsidRPr="00890781">
        <w:t xml:space="preserve"> – ukupno prihodi iznose 10.375.242,07 eura i značajno su manji zbog izuzeća Županijske bolnice iz konsolidacije ovog razdoblja. Prihode bilježe Dom zdravlja u iznosu od 3.670.364,83 eura (prethodno razdoblje 2.734.192,33 eura), Zavod za hitnu medicinu 4.951.547,98 eura (prethodno razdoblje 3.457.058,18 eura) i Zavod za javno zdravstvo u iznosu od 1.753.329,26 eura (prethodno razdoblje 1.622.335,72 eura). Navedeni prihodi povećani su prvenstveno zbog povećanja limita za plaće.</w:t>
      </w:r>
    </w:p>
    <w:p w14:paraId="0D3CEFAE" w14:textId="77777777" w:rsidR="007113C3" w:rsidRDefault="007113C3" w:rsidP="00C53248">
      <w:pPr>
        <w:jc w:val="both"/>
        <w:rPr>
          <w:b/>
        </w:rPr>
      </w:pPr>
    </w:p>
    <w:p w14:paraId="425D90AC" w14:textId="77777777" w:rsidR="00A11CC3" w:rsidRDefault="00A11CC3" w:rsidP="00C53248">
      <w:pPr>
        <w:jc w:val="both"/>
        <w:rPr>
          <w:b/>
        </w:rPr>
      </w:pPr>
    </w:p>
    <w:p w14:paraId="50E14642" w14:textId="77777777" w:rsidR="00A11CC3" w:rsidRDefault="00A11CC3" w:rsidP="00C53248">
      <w:pPr>
        <w:jc w:val="both"/>
        <w:rPr>
          <w:b/>
        </w:rPr>
      </w:pPr>
    </w:p>
    <w:p w14:paraId="17DB6CD8" w14:textId="6A6DB16F" w:rsidR="00C53248" w:rsidRPr="00FB41BF" w:rsidRDefault="00C53248" w:rsidP="00C53248">
      <w:pPr>
        <w:jc w:val="both"/>
        <w:rPr>
          <w:bCs/>
        </w:rPr>
      </w:pPr>
      <w:r w:rsidRPr="00C53248">
        <w:rPr>
          <w:b/>
        </w:rPr>
        <w:lastRenderedPageBreak/>
        <w:t>Rashodi iz redovnog poslovanja</w:t>
      </w:r>
    </w:p>
    <w:p w14:paraId="57EB4F5E" w14:textId="77777777" w:rsidR="00C53248" w:rsidRDefault="00C53248" w:rsidP="00C53248">
      <w:pPr>
        <w:tabs>
          <w:tab w:val="left" w:pos="1041"/>
          <w:tab w:val="left" w:pos="7253"/>
          <w:tab w:val="left" w:pos="10955"/>
        </w:tabs>
        <w:rPr>
          <w:bCs/>
        </w:rPr>
      </w:pPr>
    </w:p>
    <w:p w14:paraId="1B331137" w14:textId="7B6CB83E" w:rsidR="002554CF" w:rsidRPr="002554CF" w:rsidRDefault="002554CF" w:rsidP="002554CF">
      <w:pPr>
        <w:tabs>
          <w:tab w:val="left" w:pos="1041"/>
          <w:tab w:val="left" w:pos="1906"/>
          <w:tab w:val="left" w:pos="7253"/>
          <w:tab w:val="left" w:pos="10955"/>
        </w:tabs>
        <w:jc w:val="both"/>
      </w:pPr>
      <w:r w:rsidRPr="002554CF">
        <w:rPr>
          <w:b/>
          <w:bCs/>
        </w:rPr>
        <w:t>Šifra 31 - Rashodi za zaposlene</w:t>
      </w:r>
      <w:r w:rsidRPr="002554CF">
        <w:t xml:space="preserve"> – ostvareni su u iznosu od 64</w:t>
      </w:r>
      <w:r>
        <w:t xml:space="preserve"> milijuna </w:t>
      </w:r>
      <w:r w:rsidRPr="002554CF">
        <w:t>eura i manji su u odnosu na prethodno razdoblje kada je najveći udio u rashodima pripadao Županijskoj bolnici Čakovec. Ukoliko promatramo samo proračunske korisnike ovog razdoblja i uspoređujemo ih s prethodnim, rashodi za zaposlene veći su za 28%. Prvenstveno povećanje kod svih se odnosi na povećanja za staž i povećanja osnovica plaće u državnim i javnim institucijama i kod Međimurske županije. Osim povećanja osnovica plaća povećala su se i materijalna prava što je evidentno kod povećanja Ostalih rashoda za zaposlene (konto 312) te naknada za prekovremeni rad kod proračunskih korisnika (najviše kod zdravstvenih ustanova).</w:t>
      </w:r>
    </w:p>
    <w:p w14:paraId="112834A3" w14:textId="77777777" w:rsidR="002554CF" w:rsidRPr="002554CF" w:rsidRDefault="002554CF" w:rsidP="002554CF">
      <w:pPr>
        <w:tabs>
          <w:tab w:val="left" w:pos="1041"/>
          <w:tab w:val="left" w:pos="1906"/>
          <w:tab w:val="left" w:pos="7253"/>
          <w:tab w:val="left" w:pos="10955"/>
        </w:tabs>
        <w:ind w:left="108"/>
        <w:jc w:val="both"/>
      </w:pPr>
    </w:p>
    <w:p w14:paraId="4E7819E5" w14:textId="0B07991B" w:rsidR="002554CF" w:rsidRPr="002554CF" w:rsidRDefault="002554CF" w:rsidP="002554CF">
      <w:pPr>
        <w:tabs>
          <w:tab w:val="left" w:pos="1041"/>
          <w:tab w:val="left" w:pos="1906"/>
          <w:tab w:val="left" w:pos="7253"/>
          <w:tab w:val="left" w:pos="10955"/>
        </w:tabs>
        <w:jc w:val="both"/>
      </w:pPr>
      <w:r w:rsidRPr="002554CF">
        <w:rPr>
          <w:b/>
          <w:bCs/>
        </w:rPr>
        <w:t>Šifra 322 - Rashodi za materijal i energiju</w:t>
      </w:r>
      <w:r w:rsidRPr="002554CF">
        <w:t xml:space="preserve"> – najveći udio (72%) u navedenim rashodima prethodnog razdoblja pripada Županijskoj bolnici Čakovec i iznosio je 13.738.537,91 eura. U ovom razdoblju ukupni rashodi za materijal i energiju </w:t>
      </w:r>
      <w:r>
        <w:t>su</w:t>
      </w:r>
      <w:r w:rsidRPr="002554CF">
        <w:t xml:space="preserve"> povećani za 11% ukoliko promatramo podatke samo proračunskih korisnika i Međimurske županije. Povećanja su vidljiva na stavkama energije (24%) materijala za tekuće i investicijsko održavanje (36%) te ostalog materijala i sirovina (9%). </w:t>
      </w:r>
    </w:p>
    <w:p w14:paraId="7086475F" w14:textId="0F5D7665" w:rsidR="002554CF" w:rsidRPr="002554CF" w:rsidRDefault="002554CF" w:rsidP="002554CF">
      <w:pPr>
        <w:tabs>
          <w:tab w:val="left" w:pos="1041"/>
          <w:tab w:val="left" w:pos="1906"/>
          <w:tab w:val="left" w:pos="7253"/>
          <w:tab w:val="left" w:pos="10955"/>
        </w:tabs>
        <w:jc w:val="both"/>
      </w:pPr>
      <w:r w:rsidRPr="002554CF">
        <w:rPr>
          <w:b/>
          <w:bCs/>
        </w:rPr>
        <w:t>Šifra 3231 - Usluge telefona, pošte i prijevoza</w:t>
      </w:r>
      <w:r w:rsidRPr="002554CF">
        <w:t xml:space="preserve"> –</w:t>
      </w:r>
      <w:r>
        <w:t xml:space="preserve"> </w:t>
      </w:r>
      <w:r w:rsidRPr="002554CF">
        <w:t xml:space="preserve">najveći udio </w:t>
      </w:r>
      <w:r>
        <w:t xml:space="preserve">(92%) </w:t>
      </w:r>
      <w:r w:rsidRPr="002554CF">
        <w:t>u navedenim rashodima pripada Međimurskoj županiji i iznosi 3.340.575,51 eura (na razini prošlogodišnjeg razdoblja) koja unutar navedene stavke evidentira i rashode, prema ulaznim računima prijevoznika, za usluge linijskog prijevoza učenicima osnovnih i srednjih škola, a na osnovu primitka prihoda od strane državnog proračuna.</w:t>
      </w:r>
    </w:p>
    <w:p w14:paraId="6A6CF7E7" w14:textId="0F93AA94" w:rsidR="002554CF" w:rsidRPr="002554CF" w:rsidRDefault="002554CF" w:rsidP="002554CF">
      <w:pPr>
        <w:jc w:val="both"/>
      </w:pPr>
      <w:r w:rsidRPr="002554CF">
        <w:rPr>
          <w:b/>
          <w:bCs/>
        </w:rPr>
        <w:t>Šifra 3232 - Usluge tekućeg i investicijskog održavanja</w:t>
      </w:r>
      <w:r>
        <w:t xml:space="preserve"> </w:t>
      </w:r>
      <w:r w:rsidRPr="002554CF">
        <w:t>– najveći udio prošlog razdoblja pripada Županijskoj bolnici Čakovec, a ovaj konsolidirani izvještaj bez Županijske bolnice Čakovec bilježi povećanje od 16%. Najveći udio pripada Međimurskoj županiji i iznosi 201.395,42 eura.</w:t>
      </w:r>
    </w:p>
    <w:p w14:paraId="716F4470" w14:textId="3CB0CFA2" w:rsidR="002554CF" w:rsidRPr="002554CF" w:rsidRDefault="002554CF" w:rsidP="002554CF">
      <w:pPr>
        <w:jc w:val="both"/>
      </w:pPr>
      <w:r w:rsidRPr="002554CF">
        <w:rPr>
          <w:b/>
          <w:bCs/>
        </w:rPr>
        <w:t>Šifra 3233 - Usluge promidžbe i informiranja</w:t>
      </w:r>
      <w:r w:rsidRPr="002554CF">
        <w:t xml:space="preserve"> </w:t>
      </w:r>
      <w:r>
        <w:t xml:space="preserve">- </w:t>
      </w:r>
      <w:r w:rsidRPr="002554CF">
        <w:t>najveći udio pripada Međimurskoj županiji koja bilježi smanjenje navedenog rashoda za 20% zbog prošlogodišnjih povećanih rashoda povodom obilježavanja 30. obljetnice Dana županije.</w:t>
      </w:r>
    </w:p>
    <w:p w14:paraId="54A16FA0" w14:textId="77777777" w:rsidR="002554CF" w:rsidRPr="002554CF" w:rsidRDefault="002554CF" w:rsidP="002554CF">
      <w:pPr>
        <w:jc w:val="both"/>
      </w:pPr>
      <w:r w:rsidRPr="002554CF">
        <w:rPr>
          <w:b/>
          <w:bCs/>
        </w:rPr>
        <w:t>Šifra 3234 – Komunalne usluge</w:t>
      </w:r>
      <w:r w:rsidRPr="002554CF">
        <w:t xml:space="preserve"> – najveći udio prethodnog razdoblja pripada Županijskoj bolnici Čakovec (34%), u ovom razdoblju bilježi se neznatno povećanje za Međimursku županiju i njene proračunske korisnike (5% u odnosu na prethodno razdoblje).</w:t>
      </w:r>
    </w:p>
    <w:p w14:paraId="50443F8A" w14:textId="3E34865C" w:rsidR="002554CF" w:rsidRPr="002554CF" w:rsidRDefault="002554CF" w:rsidP="002554CF">
      <w:pPr>
        <w:jc w:val="both"/>
      </w:pPr>
      <w:r w:rsidRPr="002554CF">
        <w:rPr>
          <w:b/>
          <w:bCs/>
        </w:rPr>
        <w:t>Šifra 3237 - Intelektualne i osobne usluge</w:t>
      </w:r>
      <w:r w:rsidRPr="002554CF">
        <w:t xml:space="preserve">  – najveći udio u prošlogodišnjim rashodima pripada Županijskoj bolnici Čakovec (38%) i iznosi 621.184,85 eura, u ovom razdoblju rashodi Međimurske županije i njenih proračunskih korisnika su povećani za 57% i najvećim se dijelom povećanje odnosi na Međimursku županiju zbog rashoda za izradu dokumentacija po projektima, za provođenje natječaja ITEO i sl</w:t>
      </w:r>
      <w:r>
        <w:t>., a što je vidljivo pod posebnim dijelom Izvještaja o izvršenju proračuna.</w:t>
      </w:r>
    </w:p>
    <w:p w14:paraId="654678FB" w14:textId="77777777" w:rsidR="002554CF" w:rsidRPr="002554CF" w:rsidRDefault="002554CF" w:rsidP="002554CF">
      <w:pPr>
        <w:jc w:val="both"/>
      </w:pPr>
      <w:r w:rsidRPr="002554CF">
        <w:rPr>
          <w:b/>
          <w:bCs/>
        </w:rPr>
        <w:t>Šifra 3238 - Računalne usluge</w:t>
      </w:r>
      <w:r w:rsidRPr="002554CF">
        <w:t xml:space="preserve">  – izuzevši iz usporedbe Županijsku bolnicu Čakovec stavka računalnih i ostalih usluga bilježi povećanje za 20% koje prati povećanje cijena navedenih usluga na tržištu.</w:t>
      </w:r>
    </w:p>
    <w:p w14:paraId="5B9C2BF2" w14:textId="5B7B1B5A" w:rsidR="002554CF" w:rsidRPr="002554CF" w:rsidRDefault="002554CF" w:rsidP="002554CF">
      <w:pPr>
        <w:tabs>
          <w:tab w:val="left" w:pos="1041"/>
          <w:tab w:val="left" w:pos="1906"/>
          <w:tab w:val="left" w:pos="7253"/>
          <w:tab w:val="left" w:pos="10955"/>
        </w:tabs>
        <w:jc w:val="both"/>
      </w:pPr>
      <w:r w:rsidRPr="002554CF">
        <w:rPr>
          <w:b/>
          <w:bCs/>
        </w:rPr>
        <w:t>Šifra 324 - Naknada troškova osobama izvan radnog odnosa</w:t>
      </w:r>
      <w:r w:rsidRPr="002554CF">
        <w:t xml:space="preserve"> – najveći udio pripada srednjim školama i to: Gospodarskoj školi Čakovec u iznosu od 121</w:t>
      </w:r>
      <w:r w:rsidR="00F24ADC">
        <w:t xml:space="preserve"> tisuća </w:t>
      </w:r>
      <w:r w:rsidRPr="002554CF">
        <w:t xml:space="preserve">eura, Srednjoj školi Prelog u iznosu od 101.385,41 eura, te Ekonomskoj školi Čakovec u iznosu od 64.578,58 eura. Navedene škole na ovoj poziciji evidentiraju isplate učenicima za naknadu životnih troškova po projektnim aktivnostima. </w:t>
      </w:r>
    </w:p>
    <w:p w14:paraId="114EB8EF" w14:textId="77777777" w:rsidR="002554CF" w:rsidRPr="002554CF" w:rsidRDefault="002554CF" w:rsidP="002554CF">
      <w:pPr>
        <w:tabs>
          <w:tab w:val="left" w:pos="1041"/>
          <w:tab w:val="left" w:pos="1906"/>
          <w:tab w:val="left" w:pos="7253"/>
          <w:tab w:val="left" w:pos="10955"/>
        </w:tabs>
        <w:jc w:val="both"/>
      </w:pPr>
      <w:bookmarkStart w:id="4" w:name="_Hlk127971173"/>
      <w:r w:rsidRPr="00F24ADC">
        <w:rPr>
          <w:b/>
          <w:bCs/>
        </w:rPr>
        <w:t>Šifra 3291 - Naknade za rad predstavničkih i izvršnih tijela, povjerenstava i sl.</w:t>
      </w:r>
      <w:r w:rsidRPr="002554CF">
        <w:t xml:space="preserve"> – povećanje u odnosu na prethodno razdoblje, najveći udio u rashodima </w:t>
      </w:r>
      <w:bookmarkEnd w:id="4"/>
      <w:r w:rsidRPr="002554CF">
        <w:t>pripada Međimurskoj županiji (504.794,04 eura) i bilježi povećanje u odnosu na prethodno razdoblje zbog provođenja Izbora za članove u Hrvatski sabor (262.077,61 eura) i EU Parlament (191.223,82 eura).</w:t>
      </w:r>
    </w:p>
    <w:p w14:paraId="14197062" w14:textId="77777777" w:rsidR="002554CF" w:rsidRPr="002554CF" w:rsidRDefault="002554CF" w:rsidP="002554CF">
      <w:pPr>
        <w:tabs>
          <w:tab w:val="left" w:pos="1041"/>
          <w:tab w:val="left" w:pos="1906"/>
          <w:tab w:val="left" w:pos="7253"/>
          <w:tab w:val="left" w:pos="10955"/>
        </w:tabs>
        <w:jc w:val="both"/>
      </w:pPr>
      <w:r w:rsidRPr="00F24ADC">
        <w:rPr>
          <w:b/>
          <w:bCs/>
        </w:rPr>
        <w:t>3293 – Reprezentacija, 3299 – Ostali nespomenuti rashodi</w:t>
      </w:r>
      <w:r w:rsidRPr="002554CF">
        <w:t xml:space="preserve"> – povećanje u odnosu na prethodno razdoblje zbog većeg broja aktivnosti, organiziranja obljetnica, posjeta delegacija i sl. </w:t>
      </w:r>
    </w:p>
    <w:p w14:paraId="2EF924FD" w14:textId="77777777" w:rsidR="002554CF" w:rsidRPr="002554CF" w:rsidRDefault="002554CF" w:rsidP="002554CF">
      <w:pPr>
        <w:tabs>
          <w:tab w:val="left" w:pos="1041"/>
          <w:tab w:val="left" w:pos="1906"/>
          <w:tab w:val="left" w:pos="7253"/>
          <w:tab w:val="left" w:pos="10955"/>
        </w:tabs>
        <w:jc w:val="both"/>
      </w:pPr>
      <w:r w:rsidRPr="00F24ADC">
        <w:rPr>
          <w:b/>
          <w:bCs/>
        </w:rPr>
        <w:t>Šifra 3296 – Troškovi sudskih postupaka</w:t>
      </w:r>
      <w:r w:rsidRPr="002554CF">
        <w:t xml:space="preserve">  – najveći udio u troškovima prethodnog razdoblja pripada Županijskoj bolnici Čakovec (84.259,13 eura) dok u ovom razdoblju navedene troškove evidentiraju Međimurska županija (1.800,00 eura) i Graditeljska škola (250,00 eura).</w:t>
      </w:r>
    </w:p>
    <w:p w14:paraId="270CB908" w14:textId="77777777" w:rsidR="002554CF" w:rsidRPr="002554CF" w:rsidRDefault="002554CF" w:rsidP="002554CF">
      <w:pPr>
        <w:tabs>
          <w:tab w:val="left" w:pos="1041"/>
          <w:tab w:val="left" w:pos="1906"/>
          <w:tab w:val="left" w:pos="7253"/>
          <w:tab w:val="left" w:pos="10955"/>
        </w:tabs>
        <w:jc w:val="both"/>
      </w:pPr>
      <w:r w:rsidRPr="00E82160">
        <w:rPr>
          <w:b/>
          <w:bCs/>
        </w:rPr>
        <w:lastRenderedPageBreak/>
        <w:t>Šifra 3423 – Kamate za primljene kredite i zajmove od kreditnih i ostalih financijskih institucija izvan javnog sektora</w:t>
      </w:r>
      <w:r w:rsidRPr="002554CF">
        <w:t xml:space="preserve"> – smanjenje kod Međimurske županije u odnosu na prethodno razdoblje jer nije imala obveza po kamatama za kredit poslovne banke u ovom razdoblju.</w:t>
      </w:r>
    </w:p>
    <w:p w14:paraId="2E232772" w14:textId="77777777" w:rsidR="002554CF" w:rsidRPr="002554CF" w:rsidRDefault="002554CF" w:rsidP="002554CF">
      <w:pPr>
        <w:tabs>
          <w:tab w:val="left" w:pos="1041"/>
          <w:tab w:val="left" w:pos="1906"/>
          <w:tab w:val="left" w:pos="7253"/>
          <w:tab w:val="left" w:pos="10955"/>
        </w:tabs>
        <w:jc w:val="both"/>
      </w:pPr>
      <w:r w:rsidRPr="000401C9">
        <w:rPr>
          <w:b/>
          <w:bCs/>
        </w:rPr>
        <w:t xml:space="preserve">Šifra 3433 – Zatezne kamate </w:t>
      </w:r>
      <w:r w:rsidRPr="002554CF">
        <w:t>– smanjenje u odnosu na prethodno razdoblje koje se cijelim dijelom odnosi na Županijsku bolnicu Čakovec.</w:t>
      </w:r>
    </w:p>
    <w:p w14:paraId="15AD1B74" w14:textId="77777777" w:rsidR="002554CF" w:rsidRPr="002554CF" w:rsidRDefault="002554CF" w:rsidP="002554CF">
      <w:pPr>
        <w:tabs>
          <w:tab w:val="left" w:pos="1041"/>
          <w:tab w:val="left" w:pos="1906"/>
          <w:tab w:val="left" w:pos="7253"/>
          <w:tab w:val="left" w:pos="10955"/>
        </w:tabs>
        <w:jc w:val="both"/>
      </w:pPr>
      <w:r w:rsidRPr="000401C9">
        <w:rPr>
          <w:b/>
          <w:bCs/>
        </w:rPr>
        <w:t>Šifra 3512 – Subvencija trgovačkim društvima u javnom sektoru</w:t>
      </w:r>
      <w:r w:rsidRPr="002554CF">
        <w:t xml:space="preserve"> – odnose se na isplatu Međimurske županije na ime subvencija trgovačkim društvima u vlasništvu Međimurske županije.</w:t>
      </w:r>
    </w:p>
    <w:p w14:paraId="6705C528" w14:textId="77777777" w:rsidR="002554CF" w:rsidRPr="002554CF" w:rsidRDefault="002554CF" w:rsidP="002554CF">
      <w:pPr>
        <w:tabs>
          <w:tab w:val="left" w:pos="1041"/>
          <w:tab w:val="left" w:pos="1906"/>
          <w:tab w:val="left" w:pos="7253"/>
          <w:tab w:val="left" w:pos="10955"/>
        </w:tabs>
        <w:jc w:val="both"/>
      </w:pPr>
      <w:bookmarkStart w:id="5" w:name="_Hlk179390596"/>
      <w:r w:rsidRPr="000401C9">
        <w:rPr>
          <w:b/>
          <w:bCs/>
        </w:rPr>
        <w:t xml:space="preserve">Šifra 3522 – Subvencije trgovačkim društvima i zadrugama izvan javnog sektora </w:t>
      </w:r>
      <w:r w:rsidRPr="002554CF">
        <w:t xml:space="preserve">– rashodi Međimurske županije - iznose 170.644,70 eura i odnose se najviše na potpore po programu male vrijednosti za poticanje razvoja poduzetništva (iznos od 151.001,31 eura), za financijske potpore i instrumente (iznos od 9.112,50 eura) te za kamate po kreditima poduzetnicima i malim gospodarstvima, a za </w:t>
      </w:r>
      <w:bookmarkEnd w:id="5"/>
      <w:r w:rsidRPr="002554CF">
        <w:t>koje se naplaćuju prihodi od strane Ministarstva gospodarstva i održivog razvoja. U ovom je razdoblju iznos potpora nešto manji u odnosu na prethodno, a potpore po programima razvoja poduzetništva provedene su temeljem javnog poziva.</w:t>
      </w:r>
    </w:p>
    <w:p w14:paraId="6D772DAE" w14:textId="60C65779" w:rsidR="002554CF" w:rsidRPr="002554CF" w:rsidRDefault="002554CF" w:rsidP="002554CF">
      <w:pPr>
        <w:tabs>
          <w:tab w:val="left" w:pos="1041"/>
          <w:tab w:val="left" w:pos="1906"/>
          <w:tab w:val="left" w:pos="7253"/>
          <w:tab w:val="left" w:pos="10955"/>
        </w:tabs>
        <w:jc w:val="both"/>
      </w:pPr>
      <w:r w:rsidRPr="000401C9">
        <w:rPr>
          <w:b/>
          <w:bCs/>
        </w:rPr>
        <w:t>Šifra 3523 – Subvencije poljoprivrednicima i obrtnicima</w:t>
      </w:r>
      <w:r w:rsidRPr="002554CF">
        <w:t xml:space="preserve"> – rashodi Međimurske županije koji se odnose na isplatu subvencija poljoprivrednicima te na isplatu potpora male vrijednosti obrtnicima. Najveći udio pripada Potpori za primarnu poljoprivrednu proizvodnju i iznosi 161.503,03 eura. Navedeno subvencioniranje se provodi putem raspisanog javnog poziva.</w:t>
      </w:r>
    </w:p>
    <w:p w14:paraId="10206B11" w14:textId="77777777" w:rsidR="002554CF" w:rsidRPr="002554CF" w:rsidRDefault="002554CF" w:rsidP="002554CF">
      <w:pPr>
        <w:tabs>
          <w:tab w:val="left" w:pos="1041"/>
          <w:tab w:val="left" w:pos="1906"/>
          <w:tab w:val="left" w:pos="7253"/>
          <w:tab w:val="left" w:pos="10955"/>
        </w:tabs>
        <w:jc w:val="both"/>
      </w:pPr>
      <w:r w:rsidRPr="000401C9">
        <w:rPr>
          <w:b/>
          <w:bCs/>
        </w:rPr>
        <w:t xml:space="preserve">Šifra 3621 – Tekuće pomoći međunarodnim organizacijama te institucijama i tijelima EU </w:t>
      </w:r>
      <w:r w:rsidRPr="002554CF">
        <w:t xml:space="preserve">– odnose se najvećim dijelom na sredstva isplaćena od strane Međimurske županije po projektu No </w:t>
      </w:r>
      <w:proofErr w:type="spellStart"/>
      <w:r w:rsidRPr="002554CF">
        <w:t>Boundaries</w:t>
      </w:r>
      <w:proofErr w:type="spellEnd"/>
      <w:r w:rsidRPr="002554CF">
        <w:t xml:space="preserve"> Općini </w:t>
      </w:r>
      <w:proofErr w:type="spellStart"/>
      <w:r w:rsidRPr="002554CF">
        <w:t>Lendava</w:t>
      </w:r>
      <w:proofErr w:type="spellEnd"/>
      <w:r w:rsidRPr="002554CF">
        <w:t xml:space="preserve"> i Razvojnoj koordinacijskoj agenciji jezera Balaton. U prethodnom razdoblju navedeni rashodi po projektu su bili veći obzirom na tijek navedenog projekta.</w:t>
      </w:r>
    </w:p>
    <w:p w14:paraId="23795BF1" w14:textId="77777777" w:rsidR="002554CF" w:rsidRPr="002554CF" w:rsidRDefault="002554CF" w:rsidP="002554CF">
      <w:pPr>
        <w:tabs>
          <w:tab w:val="left" w:pos="1041"/>
          <w:tab w:val="left" w:pos="1906"/>
          <w:tab w:val="left" w:pos="7253"/>
          <w:tab w:val="left" w:pos="10955"/>
        </w:tabs>
        <w:jc w:val="both"/>
      </w:pPr>
      <w:r w:rsidRPr="000401C9">
        <w:rPr>
          <w:b/>
          <w:bCs/>
        </w:rPr>
        <w:t>Šifra 3631 - Tekuće pomoći unutar općeg proračuna</w:t>
      </w:r>
      <w:r w:rsidRPr="002554CF">
        <w:t xml:space="preserve"> – isplate Međimurske županije i iznose 503.213,95 eura te su povećane u odnosu na prethodno razdoblje. Odnose se na isplatu pomoći za dezinsekciju komaraca u iznosu od 95.580,00 eura (prihod ostvaren od strane Ministarstva zdravstva) te na pomoć izvanproračunskom korisniku Županijskoj upravi za ceste na ime sanacije klizišta na županijskim i lokalnim cestama na području Međimurske županije, a čiji prihodi su ostvareni od strane Hrvatskih voda (iznos od 407.633,95 eura).</w:t>
      </w:r>
    </w:p>
    <w:p w14:paraId="14A8A2CD" w14:textId="77777777" w:rsidR="002554CF" w:rsidRPr="002554CF" w:rsidRDefault="002554CF" w:rsidP="002554CF">
      <w:pPr>
        <w:tabs>
          <w:tab w:val="left" w:pos="1041"/>
          <w:tab w:val="left" w:pos="1906"/>
          <w:tab w:val="left" w:pos="7253"/>
          <w:tab w:val="left" w:pos="10955"/>
        </w:tabs>
        <w:jc w:val="both"/>
      </w:pPr>
      <w:r w:rsidRPr="000401C9">
        <w:rPr>
          <w:b/>
          <w:bCs/>
        </w:rPr>
        <w:t>Šifra 3632 - Kapitalne pomoći unutar općeg proračuna</w:t>
      </w:r>
      <w:r w:rsidRPr="002554CF">
        <w:t xml:space="preserve"> – pomoći Međimurske županije  koje iznose 882.821,14 eura te su povećane u odnosu na prethodno razdoblje za 160,9%. Odnose se na isplatu pomoći za izgradnju Regionalnog edukacijsko-rehabilitacijskog centra u Čakovcu u iznosu od 692.570,46 eura, te za otplate kredita za dvorane škola u Strahonincu i Goričanu u iznosu od 81.347,04 eura, slijede pomoći Općini </w:t>
      </w:r>
      <w:proofErr w:type="spellStart"/>
      <w:r w:rsidRPr="002554CF">
        <w:t>Belica</w:t>
      </w:r>
      <w:proofErr w:type="spellEnd"/>
      <w:r w:rsidRPr="002554CF">
        <w:t xml:space="preserve"> za Muzej krumpira i Općini Vratišinec za opremanje dječjeg igrališta te obnova kolnika kod Gornje Dubrave u korist Županijske uprave za ceste. U prethodnom razdoblju nije bilo značajnih navedenih rashoda na ime izgradnje Regionalnog edukacijsko-rehabilitacijskog centra u Čakovcu.</w:t>
      </w:r>
    </w:p>
    <w:p w14:paraId="031695BB" w14:textId="77777777" w:rsidR="002554CF" w:rsidRPr="002554CF" w:rsidRDefault="002554CF" w:rsidP="002554CF">
      <w:pPr>
        <w:tabs>
          <w:tab w:val="left" w:pos="1041"/>
          <w:tab w:val="left" w:pos="1906"/>
          <w:tab w:val="left" w:pos="7253"/>
          <w:tab w:val="left" w:pos="10955"/>
        </w:tabs>
        <w:jc w:val="both"/>
      </w:pPr>
      <w:r w:rsidRPr="000401C9">
        <w:rPr>
          <w:b/>
          <w:bCs/>
        </w:rPr>
        <w:t>Šifra 3662 – Kapitalna pomoć proračunskim korisnicima drugih proračuna</w:t>
      </w:r>
      <w:r w:rsidRPr="002554CF">
        <w:t xml:space="preserve"> – na navedenoj stavci su evidentirana sredstva u iznosu od 164.827,81 eura kao pomoć Županijskoj bolnici Čakovec nastale kao obveza iz prethodnih obračunskih razdoblja (uplate su izvršene putem cesija dobavljaču Županijske bolnice Čakovec). U prethodnom je razdoblju ta pomoć bila evidentirana kao pomoć proračunskom korisniku iz nadležnosti Međimurske županije dok se u ovom razdoblju evidentira kao pomoć proračunskom korisniku Državnog proračuna budući da su osnivačka prava Županijske bolnice Čakovec prenesena od strane Međimurske županije na Republiku Hrvatsku.</w:t>
      </w:r>
    </w:p>
    <w:p w14:paraId="47BAE416" w14:textId="636FCD16" w:rsidR="002554CF" w:rsidRPr="002554CF" w:rsidRDefault="002554CF" w:rsidP="002554CF">
      <w:pPr>
        <w:tabs>
          <w:tab w:val="left" w:pos="1041"/>
          <w:tab w:val="left" w:pos="1906"/>
          <w:tab w:val="left" w:pos="7253"/>
          <w:tab w:val="left" w:pos="10955"/>
        </w:tabs>
        <w:jc w:val="both"/>
      </w:pPr>
      <w:r w:rsidRPr="000401C9">
        <w:rPr>
          <w:b/>
          <w:bCs/>
        </w:rPr>
        <w:t xml:space="preserve">Šifra 372 – Ostale naknade građanima i kućanstvima </w:t>
      </w:r>
      <w:r w:rsidRPr="002554CF">
        <w:t>– rashodi su uvećani za 2</w:t>
      </w:r>
      <w:r w:rsidR="000401C9">
        <w:t>2</w:t>
      </w:r>
      <w:r w:rsidRPr="002554CF">
        <w:t xml:space="preserve">% u odnosu na prethodno razdoblje i odnose se najvećim dijelom na Međimursku županiju (802.594,02 eura), odnose se na isplate za nagrade i povelje Zrinski (2.970,00 eura), isplate učeničkih stipendija djeci hrvatskih branitelja u visini od 9.556,08 eura, isplate Obrtničkoj komori Međimurske županije za deficitarna zanimanja u iznosu od 37.600,00 eura, isplate u vidu sufinanciranja povećanja energetske učinkovitosti i korištenja obnovljivih izvora energije u obiteljskim kućama u iznosu od 99.945,50 eura, na troškove ukopa HRVI Domovinskog rata koji se pokrivaju od strane Ministarstva hrvatskih branitelja i iznose 21.145,91 eura, isplate za studentske kredite u iznosu 1.011,07 eura, sufinanciranje </w:t>
      </w:r>
      <w:r w:rsidRPr="002554CF">
        <w:lastRenderedPageBreak/>
        <w:t xml:space="preserve">cijene prijevoza željeznicom studentima u visini od 39.745,86 eura, jednokratne potpore studentima Međimurske županije isplaćene su u visini od 187.400,00 eura (100 eura po studentu), jednokratne potpore umirovljenicima u vidu sufinanciranja cijena autobusnog prijevoza u iznosu od 199.332,95 eura, sufinanciranje cijene karata za bazene za umirovljenike iznosilo je u ovom razdoblju 6.760,00 eura. Isplate za javne potrebe u kulturi, obrazovanju i nagrade u sportu i obrazovanju izvršene su u iznosu od 6.259,49 eura. Sufinanciranje pratnje za djecu na liječenju u Županijskoj bolnici Čakovec iznosilo je u ovom razdoblju 19.038,72 eura. Potpora osobama u riziku od siromaštva iznosi u ovom razdoblju 42.828,44 eura i dodjeljuje se pojedinačno po odobravanju jednokratnih pomoći sukladno Odluci čelnika i utvrđivanju prava od strane povjerenstva za dodjelu jednokratne pomoći. Sufinanciranje cijene boravka umirovljenika u domovima za starije i nemoćne osobe iznosilo je u ovom razdoblju 100.000,00 eura, dok se jednokratna novčana pomoć srednjoškolcima na školovanju izvan granica Međimurske županije isplatila u visini od 29.000,00 eura, a putem škola dodatnih 165.850,00 eura. Naknada za prijevoz studentima i umirovljenicima kao i sufinanciranje cijene boravka umirovljenika u domovima za starije nije postojala u prethodnom razdoblju što je uzrok povećanja ukupnih rashoda po šifri 372. </w:t>
      </w:r>
    </w:p>
    <w:p w14:paraId="3E5CA942" w14:textId="4C906D1B" w:rsidR="002554CF" w:rsidRPr="002554CF" w:rsidRDefault="002554CF" w:rsidP="002554CF">
      <w:pPr>
        <w:tabs>
          <w:tab w:val="left" w:pos="1041"/>
          <w:tab w:val="left" w:pos="1906"/>
          <w:tab w:val="left" w:pos="7253"/>
          <w:tab w:val="left" w:pos="10955"/>
        </w:tabs>
        <w:jc w:val="both"/>
      </w:pPr>
      <w:r w:rsidRPr="000401C9">
        <w:rPr>
          <w:b/>
          <w:bCs/>
        </w:rPr>
        <w:t>Šifra 38 – Ostali rashodi -</w:t>
      </w:r>
      <w:r w:rsidRPr="002554CF">
        <w:t xml:space="preserve"> ostvareni su u iznosu od 2.58</w:t>
      </w:r>
      <w:r w:rsidR="000401C9">
        <w:t>2</w:t>
      </w:r>
      <w:r w:rsidRPr="002554CF">
        <w:t>.</w:t>
      </w:r>
      <w:r w:rsidR="000401C9">
        <w:t>654</w:t>
      </w:r>
      <w:r w:rsidRPr="002554CF">
        <w:t>,</w:t>
      </w:r>
      <w:r w:rsidR="000401C9">
        <w:t>63</w:t>
      </w:r>
      <w:r w:rsidRPr="002554CF">
        <w:t xml:space="preserve"> eura i najveći udio u iznosu od 2.567.818,21 eura pripada Međimurskoj županiji. Isplaćene su donacije za sportska društva putem Zajednice sportova (600.000,00 eura), Turističkoj zajednici Međimurske županije (400.000,00 eura) za Međimurski školski sportski savez (80.000,00 eura), Vatrogasnu zajednicu (170.000,00 eura), Javnu vatrogasnu postrojbu (10.000,00 eura), HGSS (40.000,00 eura), isplata za Crveni križ sukladno zakonskoj obvezi izvršena je u visini od 99.799,33 eura, za ostale udruge građana (najveći udio po programima organizacija civilnog društva (189.336,61 eura) i političke stranke (iznos od 51.761,46 eura), za humanitarne organizacije, udruge (najveći udio za asistente u nastavi 181.335,10 eura),  te sve oblike donacija koje su planirane u proračunu te se prati njihovo sufinanciranje. Kapitalne donacije u ovom obračunskom razdoblju iznose 4.796,84 eura i odnose se na donacije nefinancijske imovine udrugama, navedeni iznosi donacija evidentirani su kao prihod ostvaren sukladno Odlukama o donaciji.</w:t>
      </w:r>
    </w:p>
    <w:p w14:paraId="57693631" w14:textId="77777777" w:rsidR="002554CF" w:rsidRDefault="002554CF" w:rsidP="00C53248">
      <w:pPr>
        <w:tabs>
          <w:tab w:val="left" w:pos="1041"/>
          <w:tab w:val="left" w:pos="7253"/>
          <w:tab w:val="left" w:pos="10955"/>
        </w:tabs>
        <w:rPr>
          <w:bCs/>
        </w:rPr>
      </w:pPr>
    </w:p>
    <w:p w14:paraId="55B2827D" w14:textId="77777777" w:rsidR="004F5D16" w:rsidRDefault="004F5D16" w:rsidP="004F5D16">
      <w:pPr>
        <w:tabs>
          <w:tab w:val="left" w:pos="1041"/>
          <w:tab w:val="left" w:pos="7253"/>
          <w:tab w:val="left" w:pos="10955"/>
        </w:tabs>
        <w:jc w:val="both"/>
        <w:rPr>
          <w:rFonts w:ascii="Arial" w:hAnsi="Arial" w:cs="Arial"/>
          <w:b/>
          <w:bCs/>
        </w:rPr>
      </w:pPr>
      <w:bookmarkStart w:id="6" w:name="_Hlk190346178"/>
    </w:p>
    <w:p w14:paraId="5DE69777" w14:textId="77777777" w:rsidR="004F5D16" w:rsidRPr="00FB41BF" w:rsidRDefault="004F5D16" w:rsidP="004F5D16">
      <w:pPr>
        <w:tabs>
          <w:tab w:val="left" w:pos="1041"/>
          <w:tab w:val="left" w:pos="7253"/>
          <w:tab w:val="left" w:pos="10955"/>
        </w:tabs>
        <w:spacing w:line="276" w:lineRule="auto"/>
        <w:rPr>
          <w:b/>
        </w:rPr>
      </w:pPr>
      <w:r w:rsidRPr="004F5D16">
        <w:rPr>
          <w:b/>
        </w:rPr>
        <w:t>Prihodi – od prodaje nefinancijske imovine</w:t>
      </w:r>
    </w:p>
    <w:p w14:paraId="6E5B1599" w14:textId="77777777" w:rsidR="004F5D16" w:rsidRDefault="004F5D16" w:rsidP="004F5D16">
      <w:pPr>
        <w:tabs>
          <w:tab w:val="left" w:pos="1041"/>
          <w:tab w:val="left" w:pos="7253"/>
          <w:tab w:val="left" w:pos="10955"/>
        </w:tabs>
        <w:jc w:val="both"/>
        <w:rPr>
          <w:rFonts w:ascii="Arial" w:hAnsi="Arial" w:cs="Arial"/>
          <w:b/>
          <w:bCs/>
        </w:rPr>
      </w:pPr>
    </w:p>
    <w:p w14:paraId="5B4FBA39" w14:textId="21B46F63" w:rsidR="004F5D16" w:rsidRPr="004F5D16" w:rsidRDefault="004F5D16" w:rsidP="004F5D16">
      <w:pPr>
        <w:tabs>
          <w:tab w:val="left" w:pos="1041"/>
          <w:tab w:val="left" w:pos="7253"/>
          <w:tab w:val="left" w:pos="10955"/>
        </w:tabs>
        <w:jc w:val="both"/>
      </w:pPr>
      <w:r w:rsidRPr="004F5D16">
        <w:rPr>
          <w:b/>
          <w:bCs/>
        </w:rPr>
        <w:t>Šifra 7111</w:t>
      </w:r>
      <w:r w:rsidRPr="004F5D16">
        <w:t xml:space="preserve"> – Prihodi od prodaje nefinancijske imovine ostvareni su od strane Međimurske županije i to prodajom zemljišta u vlasništvu Međimurske županije u iznosu od 1.912.710,94 eura, prodajom poljoprivrednog zemljišta ostvarenom </w:t>
      </w:r>
      <w:bookmarkEnd w:id="6"/>
      <w:r w:rsidRPr="004F5D16">
        <w:t>temeljem rasporeda prihoda iz Državnog proračuna u iznosu od 4.495,71 eura te prodajom građevinskog zemljišta u vlasništvu Republike Hrvatske za koju je Međimurska županija zastupala istu u obavljanju povjerenih poslova prodaje nekretnina RH (29.900,00 eura). U prethodnom razdoblju nije bilo prodaje zemljišta od strane Međimurske županije u takvom obimu.</w:t>
      </w:r>
    </w:p>
    <w:p w14:paraId="1CA80310" w14:textId="77777777" w:rsidR="004F5D16" w:rsidRPr="004F5D16" w:rsidRDefault="004F5D16" w:rsidP="004F5D16">
      <w:pPr>
        <w:tabs>
          <w:tab w:val="left" w:pos="1041"/>
          <w:tab w:val="left" w:pos="7253"/>
          <w:tab w:val="left" w:pos="10955"/>
        </w:tabs>
        <w:jc w:val="both"/>
      </w:pPr>
    </w:p>
    <w:p w14:paraId="748A34EE" w14:textId="77777777" w:rsidR="004F5D16" w:rsidRPr="00E03B5C" w:rsidRDefault="004F5D16" w:rsidP="004F5D16">
      <w:pPr>
        <w:tabs>
          <w:tab w:val="left" w:pos="1041"/>
          <w:tab w:val="left" w:pos="7253"/>
          <w:tab w:val="left" w:pos="10955"/>
        </w:tabs>
        <w:jc w:val="both"/>
      </w:pPr>
      <w:r w:rsidRPr="004F5D16">
        <w:rPr>
          <w:b/>
          <w:bCs/>
        </w:rPr>
        <w:t>Šifra 72</w:t>
      </w:r>
      <w:r w:rsidRPr="004F5D16">
        <w:t xml:space="preserve"> – Prihodi od prodaje proizvedene dugotrajne imovine ostvareni su u iznosu od 27.887,53 eura, a najveći udio u prihodima pripada Međimurskoj županiji koja je iste ostvarila prodajom opreme i donacijom kontejnera.</w:t>
      </w:r>
    </w:p>
    <w:p w14:paraId="23B0B881" w14:textId="77777777" w:rsidR="00F32E6A" w:rsidRPr="00FB41BF" w:rsidRDefault="00F32E6A" w:rsidP="00C53248">
      <w:pPr>
        <w:tabs>
          <w:tab w:val="left" w:pos="1041"/>
          <w:tab w:val="left" w:pos="7253"/>
          <w:tab w:val="left" w:pos="10955"/>
        </w:tabs>
        <w:rPr>
          <w:bCs/>
        </w:rPr>
      </w:pPr>
    </w:p>
    <w:p w14:paraId="110F3DB3" w14:textId="77777777" w:rsidR="00C53248" w:rsidRPr="00FB41BF" w:rsidRDefault="00C53248" w:rsidP="00C53248">
      <w:pPr>
        <w:tabs>
          <w:tab w:val="left" w:pos="1041"/>
          <w:tab w:val="left" w:pos="7253"/>
          <w:tab w:val="left" w:pos="10955"/>
        </w:tabs>
      </w:pPr>
    </w:p>
    <w:p w14:paraId="547738D7" w14:textId="77777777" w:rsidR="00C936D9" w:rsidRDefault="00C53248" w:rsidP="00C53248">
      <w:pPr>
        <w:tabs>
          <w:tab w:val="left" w:pos="1041"/>
          <w:tab w:val="left" w:pos="7253"/>
          <w:tab w:val="left" w:pos="10955"/>
        </w:tabs>
        <w:spacing w:line="276" w:lineRule="auto"/>
        <w:rPr>
          <w:b/>
        </w:rPr>
      </w:pPr>
      <w:r w:rsidRPr="00FB41BF">
        <w:rPr>
          <w:b/>
        </w:rPr>
        <w:t>Rashodi - nefinancijska imovina</w:t>
      </w:r>
      <w:r w:rsidRPr="00FB41BF">
        <w:rPr>
          <w:b/>
        </w:rPr>
        <w:tab/>
        <w:t> </w:t>
      </w:r>
    </w:p>
    <w:p w14:paraId="4B36E17F" w14:textId="77777777" w:rsidR="00C936D9" w:rsidRDefault="00C936D9" w:rsidP="00C53248">
      <w:pPr>
        <w:tabs>
          <w:tab w:val="left" w:pos="1041"/>
          <w:tab w:val="left" w:pos="7253"/>
          <w:tab w:val="left" w:pos="10955"/>
        </w:tabs>
        <w:spacing w:line="276" w:lineRule="auto"/>
        <w:rPr>
          <w:b/>
        </w:rPr>
      </w:pPr>
    </w:p>
    <w:p w14:paraId="7DE7EBFD" w14:textId="77777777" w:rsidR="00C936D9" w:rsidRPr="00C936D9" w:rsidRDefault="00C936D9" w:rsidP="00C936D9">
      <w:pPr>
        <w:tabs>
          <w:tab w:val="left" w:pos="1041"/>
          <w:tab w:val="left" w:pos="1906"/>
          <w:tab w:val="left" w:pos="7253"/>
          <w:tab w:val="left" w:pos="10955"/>
        </w:tabs>
        <w:jc w:val="both"/>
      </w:pPr>
      <w:r w:rsidRPr="00C936D9">
        <w:rPr>
          <w:b/>
          <w:bCs/>
        </w:rPr>
        <w:t>Šifra 41</w:t>
      </w:r>
      <w:r w:rsidRPr="00C936D9">
        <w:t xml:space="preserve"> – Rashodi za nabavu </w:t>
      </w:r>
      <w:proofErr w:type="spellStart"/>
      <w:r w:rsidRPr="00C936D9">
        <w:t>neproizvedene</w:t>
      </w:r>
      <w:proofErr w:type="spellEnd"/>
      <w:r w:rsidRPr="00C936D9">
        <w:t xml:space="preserve"> dugotrajne imovine – obuhvaća rashode Međimurske županije (1.380,37 eura), Zavoda za hitnu medicinu (2.369,78 eura) i Zavoda za javno zdravstvo (1.047,88 eura). Zavod za prostorno uređenje na navedenoj poziciji tereti rashode u iznosu od </w:t>
      </w:r>
      <w:r w:rsidRPr="00C936D9">
        <w:lastRenderedPageBreak/>
        <w:t>1.206,44 eura, Dom za starije i nemoćne osobe Čakovec 740,00 eura, a Gospodarska škola 42,80 eura.</w:t>
      </w:r>
    </w:p>
    <w:p w14:paraId="2AF60740" w14:textId="16032C2B" w:rsidR="00C936D9" w:rsidRDefault="00C936D9" w:rsidP="00167660">
      <w:pPr>
        <w:jc w:val="both"/>
      </w:pPr>
      <w:r w:rsidRPr="00C936D9">
        <w:rPr>
          <w:b/>
          <w:bCs/>
        </w:rPr>
        <w:t>Šifra 4212 – Poslovni objekti</w:t>
      </w:r>
      <w:r w:rsidRPr="00C936D9">
        <w:t xml:space="preserve"> – najveći udio u rashodima pripada Međimursk</w:t>
      </w:r>
      <w:r>
        <w:t>oj</w:t>
      </w:r>
      <w:r w:rsidRPr="00C936D9">
        <w:t xml:space="preserve"> županij</w:t>
      </w:r>
      <w:r>
        <w:t>i koja</w:t>
      </w:r>
      <w:r w:rsidRPr="00C936D9">
        <w:t xml:space="preserve"> je u ovom razdoblju na navedeni rashod utrošila 67.589,09 eura što je 85% manje u odnosu na prethodno razdoblje</w:t>
      </w:r>
      <w:r w:rsidR="001C4290">
        <w:t xml:space="preserve"> (radovi na kanalizaciji Poslovnog parka u prethodnom razdoblju).</w:t>
      </w:r>
    </w:p>
    <w:p w14:paraId="3B80EB9B" w14:textId="77777777" w:rsidR="00C936D9" w:rsidRPr="00C936D9" w:rsidRDefault="00C936D9" w:rsidP="00C936D9">
      <w:pPr>
        <w:jc w:val="both"/>
      </w:pPr>
      <w:r w:rsidRPr="00167660">
        <w:rPr>
          <w:b/>
          <w:bCs/>
        </w:rPr>
        <w:t>Šifra 4214 – Oprema za održavanje i zaštitu</w:t>
      </w:r>
      <w:r w:rsidRPr="00C936D9">
        <w:t xml:space="preserve"> – rashodi pripadaju Graditeljskoj školi Čakovec u iznosu od 100.532,04 eura, OŠ </w:t>
      </w:r>
      <w:proofErr w:type="spellStart"/>
      <w:r w:rsidRPr="00C936D9">
        <w:t>Hodošan</w:t>
      </w:r>
      <w:proofErr w:type="spellEnd"/>
      <w:r w:rsidRPr="00C936D9">
        <w:t xml:space="preserve"> u iznosu od 12.750,00 eura te Muzeju Međimurja u iznosu od 3.037,50 eura.</w:t>
      </w:r>
    </w:p>
    <w:p w14:paraId="5BDB6C7A" w14:textId="77777777" w:rsidR="00C936D9" w:rsidRPr="00C936D9" w:rsidRDefault="00C936D9" w:rsidP="00C936D9">
      <w:pPr>
        <w:jc w:val="both"/>
      </w:pPr>
    </w:p>
    <w:p w14:paraId="0BDD75FD" w14:textId="4FCC9E58" w:rsidR="00C936D9" w:rsidRPr="00C936D9" w:rsidRDefault="00C936D9" w:rsidP="00C936D9">
      <w:pPr>
        <w:jc w:val="both"/>
      </w:pPr>
      <w:r w:rsidRPr="00364C57">
        <w:rPr>
          <w:b/>
          <w:bCs/>
        </w:rPr>
        <w:t>Šifra 4224 – Medicinska i laboratorijska oprema</w:t>
      </w:r>
      <w:r w:rsidRPr="00C936D9">
        <w:t xml:space="preserve"> – najveći udio u nabavljenoj opremi prethodnog razdoblja pripada Županijskoj bolnici Čakovec (516.392,31 eura),  u ovom obračunskom razdoblju znatno je povećanje navedenih rashoda vidljivo kod Zavoda za hitnu medicinu (prethodno razdoblje 2.070,00 eura, ovo razdoblje </w:t>
      </w:r>
      <w:r w:rsidR="002E280A">
        <w:t>183.980,61</w:t>
      </w:r>
      <w:r w:rsidRPr="00C936D9">
        <w:t xml:space="preserve"> eura) i Zavoda za javno zdravstvo (prethodno razdoblje 53.269,81, ovo razdoblje 172.876,74 eura) slijedi Dom zdravlja (60.766,54 eura ovo razdoblje, prethodno razdoblje 72.375,35 eura) i Dom za starije i nemoćne osobe Čakovec (27.190,30 eura prethodno razdoblje, 11.736,66 eura ovo razdoblje).</w:t>
      </w:r>
    </w:p>
    <w:p w14:paraId="4A043371" w14:textId="77777777" w:rsidR="00C936D9" w:rsidRPr="00C936D9" w:rsidRDefault="00C936D9" w:rsidP="00C936D9">
      <w:pPr>
        <w:jc w:val="both"/>
      </w:pPr>
    </w:p>
    <w:p w14:paraId="1E36494C" w14:textId="106D7330" w:rsidR="00C936D9" w:rsidRPr="00C936D9" w:rsidRDefault="00C936D9" w:rsidP="00C936D9">
      <w:pPr>
        <w:jc w:val="both"/>
      </w:pPr>
      <w:r w:rsidRPr="002E280A">
        <w:rPr>
          <w:b/>
          <w:bCs/>
        </w:rPr>
        <w:t>Šifra 4227 – Uređaji, strojevi i oprema za ostale namjene</w:t>
      </w:r>
      <w:r w:rsidRPr="00C936D9">
        <w:t xml:space="preserve"> – najveći udio prethodnog razdoblja pripada Tehničkoj školi Čakovec i iznosio je </w:t>
      </w:r>
      <w:r w:rsidR="00077E34">
        <w:t>397.765,99</w:t>
      </w:r>
      <w:r w:rsidRPr="00C936D9">
        <w:t xml:space="preserve"> eura (nabava za regionalni centar kompetencija) dok u ovom razdoblju na navedenoj stavci Tehnička škola bilježi 4.104,00 eura, ostali rashodi se odnose na proračunske korisnike i Međimursku županiju u istom omjeru kao i u prethodnom razdoblju.</w:t>
      </w:r>
    </w:p>
    <w:p w14:paraId="4E5C3483" w14:textId="1265C203" w:rsidR="00C936D9" w:rsidRPr="00C936D9" w:rsidRDefault="00C936D9" w:rsidP="00C936D9">
      <w:pPr>
        <w:jc w:val="both"/>
      </w:pPr>
      <w:r w:rsidRPr="00077E34">
        <w:rPr>
          <w:b/>
          <w:bCs/>
        </w:rPr>
        <w:t>Šifra 4231 – Prijevozna sredstva u cestovnom prijevozu</w:t>
      </w:r>
      <w:r w:rsidRPr="00C936D9">
        <w:t xml:space="preserve"> –</w:t>
      </w:r>
      <w:r w:rsidR="008F2C48">
        <w:t xml:space="preserve"> </w:t>
      </w:r>
      <w:r w:rsidRPr="00C936D9">
        <w:t xml:space="preserve">najveći udio pripada Zavodu za hitnu medicinu (297.500,00 eura – nabavljena su dva sanitetska cestovna vozila, te jedno medicinsko vozilo za Djelatnost hitne medicine), slijedi Međimurska priroda (105.081,02 eura) koja je nabavila traktor s priključcima i  teretno vozilo, a po projektima „Life </w:t>
      </w:r>
      <w:proofErr w:type="spellStart"/>
      <w:r w:rsidRPr="00C936D9">
        <w:t>Restore</w:t>
      </w:r>
      <w:proofErr w:type="spellEnd"/>
      <w:r w:rsidRPr="00C936D9">
        <w:t>“ i „Zlikovci u prirodi“, Dom zdravlja (53.592,12 eura – nabava 2 vozila za patronažu i kućnu njegu), Zavod za javno zdravstvo (32.899,00 eura za nabavu električnog automobila), Dom za starije i nemoćne (22.824,60 eura), Zavod za prostorno uređenje (24.880,08 eura), Gospodarska škola (23.790,13 eura)</w:t>
      </w:r>
      <w:r w:rsidR="008F2C48">
        <w:t xml:space="preserve">, </w:t>
      </w:r>
      <w:r w:rsidRPr="00C936D9">
        <w:t>Međimurska županija (28.007,96 eura)</w:t>
      </w:r>
      <w:r w:rsidR="008F2C48">
        <w:t xml:space="preserve"> i drugi u manjem obimu.</w:t>
      </w:r>
    </w:p>
    <w:p w14:paraId="2C063B5E" w14:textId="11A7F8AC" w:rsidR="00C936D9" w:rsidRPr="00C936D9" w:rsidRDefault="00C936D9" w:rsidP="00C936D9">
      <w:pPr>
        <w:tabs>
          <w:tab w:val="left" w:pos="1041"/>
          <w:tab w:val="left" w:pos="1906"/>
          <w:tab w:val="left" w:pos="7253"/>
          <w:tab w:val="left" w:pos="10955"/>
        </w:tabs>
        <w:jc w:val="both"/>
      </w:pPr>
      <w:r w:rsidRPr="001B603E">
        <w:rPr>
          <w:b/>
          <w:bCs/>
        </w:rPr>
        <w:t>Šifra 424 – Knjige, umjetnička djela i ostale izložbene vrijednosti</w:t>
      </w:r>
      <w:r w:rsidRPr="00C936D9">
        <w:t xml:space="preserve">  – iznos od </w:t>
      </w:r>
      <w:r w:rsidR="001B603E">
        <w:t>336.650,17</w:t>
      </w:r>
      <w:r w:rsidRPr="00C936D9">
        <w:t xml:space="preserve"> eura se odnosi na nabavku knjiga i udžbenika u sklopu škola, a Muzej Međimurja je na poziciji Umjetnička djela nabavio isto u vrijednosti 20.000,00 eura.</w:t>
      </w:r>
    </w:p>
    <w:p w14:paraId="225C07EC" w14:textId="41048163" w:rsidR="00C936D9" w:rsidRPr="00C936D9" w:rsidRDefault="00C936D9" w:rsidP="00C936D9">
      <w:pPr>
        <w:tabs>
          <w:tab w:val="left" w:pos="1041"/>
          <w:tab w:val="left" w:pos="1906"/>
          <w:tab w:val="left" w:pos="7253"/>
          <w:tab w:val="left" w:pos="10955"/>
        </w:tabs>
        <w:jc w:val="both"/>
      </w:pPr>
      <w:r w:rsidRPr="001B603E">
        <w:rPr>
          <w:b/>
          <w:bCs/>
        </w:rPr>
        <w:t>Šifra 451 – Dodatna ulaganja na građevinskim objektima</w:t>
      </w:r>
      <w:r w:rsidRPr="00C936D9">
        <w:t xml:space="preserve">  –</w:t>
      </w:r>
      <w:r w:rsidR="001B603E">
        <w:t xml:space="preserve"> </w:t>
      </w:r>
      <w:r w:rsidRPr="00C936D9">
        <w:t>smanjenje 6</w:t>
      </w:r>
      <w:r w:rsidR="001B603E">
        <w:t>1</w:t>
      </w:r>
      <w:r w:rsidRPr="00C936D9">
        <w:t xml:space="preserve">% budući je u prethodnom razdoblju najveći udio u ulaganjima pripadao Muzeju Međimurje za statičku sanaciju (iznos od 3.586.844,27 eura), te ulaganju Međimurske županije (3.553.725,17 eura) koje se najvećim djelom odnosilo na projekt energetske obnove Županijske bolnice Čakovec. U ovom razdoblju najveći dio u ulaganjima pripada Međimurskoj županiji za ulaganja u iznosu od 2.597.174,89 eura koja se odnose na projekte Mjere prilagodbe klimatskim promjenama (768.520,90 eura), izgradnju parkirališta Muzeja Međimurje (155.010,11 eura), kapitalni izdaci za osnovne škole iz decentraliziranih sredstava (192.426,35 eura), Izgradnja dvorane OŠ Sveta Marija (1.365.371,16 eura), Revitalizacija kaštela </w:t>
      </w:r>
      <w:proofErr w:type="spellStart"/>
      <w:r w:rsidRPr="00C936D9">
        <w:t>Feštetić</w:t>
      </w:r>
      <w:proofErr w:type="spellEnd"/>
      <w:r w:rsidRPr="00C936D9">
        <w:t xml:space="preserve"> (74.495,23 eura), dodatna ulaganja u zdravstvu (23.243,39 eura), sufinanciranje objekata u odgoju i obrazovanju (2.182,75 eura), opremanje Doma za starije i nemoćne osobe Čakovec (11.025,00 eura), obnova zgrade </w:t>
      </w:r>
      <w:proofErr w:type="spellStart"/>
      <w:r w:rsidRPr="00C936D9">
        <w:t>Scheier</w:t>
      </w:r>
      <w:proofErr w:type="spellEnd"/>
      <w:r w:rsidRPr="00C936D9">
        <w:t xml:space="preserve"> (4.900,00 eura).  </w:t>
      </w:r>
    </w:p>
    <w:p w14:paraId="43F0649B" w14:textId="77777777" w:rsidR="00C936D9" w:rsidRPr="00C936D9" w:rsidRDefault="00C936D9" w:rsidP="00C936D9">
      <w:pPr>
        <w:jc w:val="both"/>
      </w:pPr>
      <w:r w:rsidRPr="00C24FFD">
        <w:rPr>
          <w:b/>
          <w:bCs/>
        </w:rPr>
        <w:t>Šifra 452 – Dodatna ulaganja na postrojenjima i opremi</w:t>
      </w:r>
      <w:r w:rsidRPr="00C936D9">
        <w:t xml:space="preserve">  – ulaganja prethodnog razdoblja znatno veća kod Gimnazije Josip Slavenski Čakovec u iznosu od 118.948,59 eura (ovo razdoblje 2.750,00 eura) za rekonstrukciju cjevovodnog sustava grijanja i nabavu i ugradnju kotla i kod ulaganja Međimurske županije u sustav navodnjavanja </w:t>
      </w:r>
      <w:proofErr w:type="spellStart"/>
      <w:r w:rsidRPr="00C936D9">
        <w:t>Belica</w:t>
      </w:r>
      <w:proofErr w:type="spellEnd"/>
      <w:r w:rsidRPr="00C936D9">
        <w:t xml:space="preserve"> (37.798,79 eura prethodno razdoblje, 24.613,51 ovo razdoblje). Unutar stavke rashoda Međimurske županije sadržan je i iznos sufinanciranja Hrvatskih voda u iznosu od 80%.</w:t>
      </w:r>
    </w:p>
    <w:p w14:paraId="233B24AA" w14:textId="77777777" w:rsidR="00C936D9" w:rsidRPr="00C936D9" w:rsidRDefault="00C936D9" w:rsidP="00C53248">
      <w:pPr>
        <w:tabs>
          <w:tab w:val="left" w:pos="1041"/>
          <w:tab w:val="left" w:pos="7253"/>
          <w:tab w:val="left" w:pos="10955"/>
        </w:tabs>
        <w:spacing w:line="276" w:lineRule="auto"/>
      </w:pPr>
    </w:p>
    <w:p w14:paraId="43926189" w14:textId="77777777" w:rsidR="00C53248" w:rsidRPr="00FB41BF" w:rsidRDefault="00C53248" w:rsidP="00C53248">
      <w:pPr>
        <w:tabs>
          <w:tab w:val="left" w:pos="1041"/>
          <w:tab w:val="left" w:pos="7253"/>
          <w:tab w:val="left" w:pos="10955"/>
        </w:tabs>
        <w:spacing w:line="276" w:lineRule="auto"/>
        <w:rPr>
          <w:b/>
        </w:rPr>
      </w:pPr>
      <w:r w:rsidRPr="00FB41BF">
        <w:rPr>
          <w:b/>
        </w:rPr>
        <w:lastRenderedPageBreak/>
        <w:t xml:space="preserve">Primici od financijske imovine i zaduživanja </w:t>
      </w:r>
    </w:p>
    <w:p w14:paraId="40126C3E" w14:textId="77777777" w:rsidR="00ED546C" w:rsidRDefault="00ED546C" w:rsidP="00ED546C">
      <w:pPr>
        <w:tabs>
          <w:tab w:val="left" w:pos="1041"/>
          <w:tab w:val="left" w:pos="7253"/>
          <w:tab w:val="left" w:pos="10955"/>
        </w:tabs>
      </w:pPr>
    </w:p>
    <w:p w14:paraId="79912C88" w14:textId="77777777" w:rsidR="00197CFC" w:rsidRPr="00197CFC" w:rsidRDefault="00197CFC" w:rsidP="00197CFC">
      <w:pPr>
        <w:jc w:val="both"/>
      </w:pPr>
      <w:r w:rsidRPr="00197CFC">
        <w:rPr>
          <w:b/>
          <w:bCs/>
        </w:rPr>
        <w:t>Šifra 8163 – Povrat zajmova danih tuzemnim trgovačkim društvima izvan javnog sektora</w:t>
      </w:r>
      <w:r w:rsidRPr="00197CFC">
        <w:t xml:space="preserve"> – primici se odnose na Dom zdravlja i Međimursku županiju koji na navedenoj stavci evidentiraju prodaju dugotrajne nefinancijske imovine na rate, odnosno robni zajam nositeljima privatne prakse u Čakovcu kod Doma zdravlja (28.666,62 eura), a  kod Međimurske županije na ime prodanog zemljišta trgovačkom društvu (442.082,28 eura). Međimurska županija u prethodnom razdoblju nije imala evidentirane primitke s navedene osnove što je razlog povećanja indeksa za usporedivo razdoblje.</w:t>
      </w:r>
    </w:p>
    <w:p w14:paraId="60BA290D" w14:textId="77777777" w:rsidR="00197CFC" w:rsidRPr="00197CFC" w:rsidRDefault="00197CFC" w:rsidP="00197CFC">
      <w:pPr>
        <w:tabs>
          <w:tab w:val="left" w:pos="1041"/>
          <w:tab w:val="left" w:pos="1906"/>
          <w:tab w:val="left" w:pos="7253"/>
          <w:tab w:val="left" w:pos="10955"/>
        </w:tabs>
        <w:jc w:val="both"/>
      </w:pPr>
      <w:r w:rsidRPr="00197CFC">
        <w:rPr>
          <w:b/>
          <w:bCs/>
        </w:rPr>
        <w:t>Šifra 8471 – Primljeni zajmovi iz državnog proračuna</w:t>
      </w:r>
      <w:r w:rsidRPr="00197CFC">
        <w:t xml:space="preserve"> – primitak prethodnog razdoblja kod Međimurske županije - evidentiran je zajam od državnog proračuna na ime povrata poreza i prireza 2023. godine, a tereti izdatke u istom iznosu tijekom 2024. godine. Navedenog zajma nema u ovom obračunskom razdoblju.</w:t>
      </w:r>
    </w:p>
    <w:p w14:paraId="4817527E" w14:textId="203B9FF7" w:rsidR="00C53248" w:rsidRPr="00FB41BF" w:rsidRDefault="00197CFC" w:rsidP="00197CFC">
      <w:pPr>
        <w:tabs>
          <w:tab w:val="left" w:pos="1041"/>
          <w:tab w:val="left" w:pos="7253"/>
          <w:tab w:val="left" w:pos="10955"/>
        </w:tabs>
      </w:pPr>
      <w:r w:rsidRPr="00197CFC">
        <w:br w:type="page"/>
      </w:r>
    </w:p>
    <w:p w14:paraId="41C49606" w14:textId="24A8A8A5" w:rsidR="00C53248" w:rsidRPr="00FB41BF" w:rsidRDefault="00C53248" w:rsidP="00C53248">
      <w:pPr>
        <w:tabs>
          <w:tab w:val="left" w:pos="1041"/>
          <w:tab w:val="left" w:pos="7253"/>
          <w:tab w:val="left" w:pos="10955"/>
        </w:tabs>
        <w:spacing w:line="276" w:lineRule="auto"/>
        <w:rPr>
          <w:b/>
        </w:rPr>
      </w:pPr>
      <w:r w:rsidRPr="00FB41BF">
        <w:rPr>
          <w:b/>
        </w:rPr>
        <w:lastRenderedPageBreak/>
        <w:t>Izdaci za financijsku imovinu i otplate zajmova</w:t>
      </w:r>
    </w:p>
    <w:p w14:paraId="2DBC2D63" w14:textId="77777777" w:rsidR="00C53248" w:rsidRDefault="00C53248" w:rsidP="00C53248">
      <w:pPr>
        <w:tabs>
          <w:tab w:val="left" w:pos="1041"/>
          <w:tab w:val="left" w:pos="1906"/>
          <w:tab w:val="left" w:pos="7253"/>
          <w:tab w:val="left" w:pos="10955"/>
        </w:tabs>
        <w:jc w:val="both"/>
        <w:rPr>
          <w:b/>
        </w:rPr>
      </w:pPr>
    </w:p>
    <w:p w14:paraId="3D73B894" w14:textId="77777777" w:rsidR="00ED5B56" w:rsidRPr="00ED5B56" w:rsidRDefault="00ED5B56" w:rsidP="00ED5B56">
      <w:pPr>
        <w:tabs>
          <w:tab w:val="left" w:pos="1041"/>
          <w:tab w:val="left" w:pos="1906"/>
          <w:tab w:val="left" w:pos="7253"/>
          <w:tab w:val="left" w:pos="10955"/>
        </w:tabs>
        <w:jc w:val="both"/>
      </w:pPr>
      <w:r w:rsidRPr="00ED5B56">
        <w:rPr>
          <w:b/>
          <w:bCs/>
        </w:rPr>
        <w:t>Šifra 5163 – Dani zajmovi tuzemnim trgovačkim društvima izvan javnog sektora</w:t>
      </w:r>
      <w:r w:rsidRPr="00ED5B56">
        <w:t xml:space="preserve"> – izdatak Međimurske županije u ukupnom iznosu, u ovom obračunskom razdoblju odobrena je obročna otplata trgovačkim društvima za prodano zemljište. Otplata se nakon izvršene uplate od strane trgovačkog društva evidentira kao povrat na šifri 8163-povrat zajmova danih tuzemnim trgovačkim društvima izvan javnog sektora.</w:t>
      </w:r>
    </w:p>
    <w:p w14:paraId="1B7CDFD5" w14:textId="77777777" w:rsidR="00ED5B56" w:rsidRPr="00ED5B56" w:rsidRDefault="00ED5B56" w:rsidP="00ED5B56">
      <w:pPr>
        <w:tabs>
          <w:tab w:val="left" w:pos="1041"/>
          <w:tab w:val="left" w:pos="1906"/>
          <w:tab w:val="left" w:pos="7253"/>
          <w:tab w:val="left" w:pos="10955"/>
        </w:tabs>
        <w:jc w:val="both"/>
      </w:pPr>
    </w:p>
    <w:p w14:paraId="20A3AE98" w14:textId="77777777" w:rsidR="00ED5B56" w:rsidRPr="00ED5B56" w:rsidRDefault="00ED5B56" w:rsidP="00ED5B56">
      <w:pPr>
        <w:tabs>
          <w:tab w:val="left" w:pos="1041"/>
          <w:tab w:val="left" w:pos="1906"/>
          <w:tab w:val="left" w:pos="7253"/>
          <w:tab w:val="left" w:pos="10955"/>
        </w:tabs>
        <w:jc w:val="both"/>
      </w:pPr>
      <w:r w:rsidRPr="00ED5B56">
        <w:rPr>
          <w:b/>
          <w:bCs/>
        </w:rPr>
        <w:t>Šifra 5443 – Otplata glavnice primljenih kredita od tuzemnih kreditnih institucija izvan javnog sektora</w:t>
      </w:r>
      <w:r w:rsidRPr="00ED5B56">
        <w:t xml:space="preserve"> – ukupno 631.155,22 eura i to za izdatak Međimurske županije za povrat kredita iz 2023. godine.</w:t>
      </w:r>
    </w:p>
    <w:p w14:paraId="426DCA3F" w14:textId="77777777" w:rsidR="00ED5B56" w:rsidRPr="00ED5B56" w:rsidRDefault="00ED5B56" w:rsidP="00ED5B56">
      <w:pPr>
        <w:tabs>
          <w:tab w:val="left" w:pos="1041"/>
          <w:tab w:val="left" w:pos="1906"/>
          <w:tab w:val="left" w:pos="7253"/>
          <w:tab w:val="left" w:pos="10955"/>
        </w:tabs>
        <w:jc w:val="both"/>
      </w:pPr>
    </w:p>
    <w:p w14:paraId="08F4A23D" w14:textId="77777777" w:rsidR="00ED5B56" w:rsidRPr="00ED5B56" w:rsidRDefault="00ED5B56" w:rsidP="00ED5B56">
      <w:pPr>
        <w:tabs>
          <w:tab w:val="left" w:pos="1041"/>
          <w:tab w:val="left" w:pos="1906"/>
          <w:tab w:val="left" w:pos="7253"/>
          <w:tab w:val="left" w:pos="10955"/>
        </w:tabs>
        <w:jc w:val="both"/>
      </w:pPr>
      <w:r w:rsidRPr="00ED5B56">
        <w:rPr>
          <w:b/>
          <w:bCs/>
        </w:rPr>
        <w:t>Šifra 5471 – Otplata glavnice primljenih zajmova od državnog proračuna</w:t>
      </w:r>
      <w:r w:rsidRPr="00ED5B56">
        <w:t xml:space="preserve"> – Sukladno naputku Ministarstva financija o načinu evidentiranja nedostatnih sredstava namirenja po povratu poreza na dan 31. prosinca 2023. godine kada su isti evidentirani kao državni zajam, tijekom 2024. godine Međimurska je županija namirila nedostatna sredstva u iznosu od 99.826,68 eura i teretila izdatke 2024. godine u četiri jednaka mjesečna obroka. </w:t>
      </w:r>
    </w:p>
    <w:p w14:paraId="79927CCE" w14:textId="77777777" w:rsidR="00C949BC" w:rsidRDefault="00C949BC" w:rsidP="00C53248">
      <w:pPr>
        <w:tabs>
          <w:tab w:val="left" w:pos="1041"/>
          <w:tab w:val="left" w:pos="1906"/>
          <w:tab w:val="left" w:pos="7253"/>
          <w:tab w:val="left" w:pos="10955"/>
        </w:tabs>
        <w:jc w:val="both"/>
        <w:rPr>
          <w:b/>
        </w:rPr>
      </w:pPr>
    </w:p>
    <w:p w14:paraId="6BD8CEAC" w14:textId="08C25B54" w:rsidR="00ED5B56" w:rsidRDefault="00ED5B56">
      <w:pPr>
        <w:spacing w:after="160" w:line="259" w:lineRule="auto"/>
      </w:pPr>
      <w:r>
        <w:br w:type="page"/>
      </w:r>
    </w:p>
    <w:p w14:paraId="471B9D18" w14:textId="7C3FAD67" w:rsidR="00920891" w:rsidRDefault="00920891" w:rsidP="00C53248">
      <w:pPr>
        <w:jc w:val="both"/>
      </w:pPr>
      <w:r w:rsidRPr="003A1319">
        <w:lastRenderedPageBreak/>
        <w:t>Sastavni dio obrazloženja ostvarenja prihoda i rashoda, primitaka i izdataka je i stanje novčanih sredstava na računima proračuna i proračunskih korisnika na kraju i na početku proračunske godine:</w:t>
      </w:r>
    </w:p>
    <w:p w14:paraId="712A05AE" w14:textId="73299893" w:rsidR="00920891" w:rsidRPr="00FB41BF" w:rsidRDefault="00BA19B8" w:rsidP="00C53248">
      <w:pPr>
        <w:jc w:val="both"/>
      </w:pPr>
      <w:r w:rsidRPr="00BA19B8">
        <w:rPr>
          <w:noProof/>
        </w:rPr>
        <w:drawing>
          <wp:inline distT="0" distB="0" distL="0" distR="0" wp14:anchorId="5390C58C" wp14:editId="49B220CA">
            <wp:extent cx="6119495" cy="7291705"/>
            <wp:effectExtent l="0" t="0" r="0" b="4445"/>
            <wp:docPr id="446898898"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9495" cy="7291705"/>
                    </a:xfrm>
                    <a:prstGeom prst="rect">
                      <a:avLst/>
                    </a:prstGeom>
                    <a:noFill/>
                    <a:ln>
                      <a:noFill/>
                    </a:ln>
                  </pic:spPr>
                </pic:pic>
              </a:graphicData>
            </a:graphic>
          </wp:inline>
        </w:drawing>
      </w:r>
    </w:p>
    <w:p w14:paraId="5B96D638" w14:textId="7B4CA56D" w:rsidR="00AB06D4" w:rsidRDefault="00AB06D4">
      <w:pPr>
        <w:spacing w:after="160" w:line="259" w:lineRule="auto"/>
        <w:rPr>
          <w:noProof/>
        </w:rPr>
      </w:pPr>
      <w:r>
        <w:rPr>
          <w:noProof/>
        </w:rPr>
        <w:br w:type="page"/>
      </w:r>
    </w:p>
    <w:p w14:paraId="6F701A7F" w14:textId="77777777" w:rsidR="00B57C41" w:rsidRDefault="00B57C41">
      <w:pPr>
        <w:spacing w:after="160" w:line="259" w:lineRule="auto"/>
        <w:rPr>
          <w:noProof/>
        </w:rPr>
      </w:pPr>
    </w:p>
    <w:p w14:paraId="1F84EF44" w14:textId="64ACA014" w:rsidR="00D443A6" w:rsidRDefault="00C53248" w:rsidP="00D443A6">
      <w:pPr>
        <w:pStyle w:val="Odlomakpopisa"/>
        <w:numPr>
          <w:ilvl w:val="0"/>
          <w:numId w:val="2"/>
        </w:numPr>
        <w:jc w:val="both"/>
        <w:rPr>
          <w:b/>
          <w:noProof/>
        </w:rPr>
      </w:pPr>
      <w:r>
        <w:rPr>
          <w:b/>
          <w:noProof/>
        </w:rPr>
        <w:t>Izvještaj o stanju potraživanja i dospjelih obveza te o stanju potencijalnih obveza po osnovi sudskih sporova</w:t>
      </w:r>
    </w:p>
    <w:p w14:paraId="306829F2" w14:textId="77777777" w:rsidR="00D356B7" w:rsidRDefault="00D356B7" w:rsidP="00D356B7">
      <w:pPr>
        <w:ind w:left="360"/>
        <w:jc w:val="both"/>
        <w:rPr>
          <w:b/>
        </w:rPr>
      </w:pPr>
    </w:p>
    <w:p w14:paraId="481DDE16" w14:textId="43D2E97E" w:rsidR="00D356B7" w:rsidRDefault="00D356B7" w:rsidP="00D356B7">
      <w:pPr>
        <w:ind w:left="360"/>
        <w:jc w:val="both"/>
        <w:rPr>
          <w:color w:val="000000"/>
          <w:sz w:val="22"/>
          <w:szCs w:val="22"/>
        </w:rPr>
      </w:pPr>
      <w:r w:rsidRPr="00B2626A">
        <w:rPr>
          <w:b/>
        </w:rPr>
        <w:t>Stanje nenaplaćenih potraživanja proračuna i proračunskih korisnika</w:t>
      </w:r>
      <w:r w:rsidRPr="00B2626A">
        <w:t xml:space="preserve"> je</w:t>
      </w:r>
      <w:r w:rsidRPr="005A243C">
        <w:t xml:space="preserve"> sastavni dio obrazloženja ovog izvršenja</w:t>
      </w:r>
      <w:r>
        <w:t>,</w:t>
      </w:r>
      <w:r w:rsidRPr="005A243C">
        <w:t xml:space="preserve"> iznosi na dan 31.12.202</w:t>
      </w:r>
      <w:r w:rsidR="007A6FF7">
        <w:t>4</w:t>
      </w:r>
      <w:r w:rsidRPr="005A243C">
        <w:t>. godine</w:t>
      </w:r>
      <w:r w:rsidRPr="00D356B7">
        <w:rPr>
          <w:color w:val="000000"/>
          <w:sz w:val="22"/>
          <w:szCs w:val="22"/>
        </w:rPr>
        <w:t xml:space="preserve">   </w:t>
      </w:r>
      <w:r w:rsidR="007A6FF7">
        <w:rPr>
          <w:color w:val="000000"/>
          <w:sz w:val="22"/>
          <w:szCs w:val="22"/>
        </w:rPr>
        <w:t>2.</w:t>
      </w:r>
      <w:r w:rsidR="00B2626A">
        <w:rPr>
          <w:color w:val="000000"/>
          <w:sz w:val="22"/>
          <w:szCs w:val="22"/>
        </w:rPr>
        <w:t>522.582,96</w:t>
      </w:r>
      <w:r>
        <w:t xml:space="preserve"> eura</w:t>
      </w:r>
      <w:r w:rsidRPr="00D356B7">
        <w:rPr>
          <w:color w:val="000000"/>
          <w:sz w:val="22"/>
          <w:szCs w:val="22"/>
        </w:rPr>
        <w:t xml:space="preserve">, i to kako slijedi:   </w:t>
      </w:r>
    </w:p>
    <w:p w14:paraId="2B9D21E2" w14:textId="33FEACC0" w:rsidR="00D356B7" w:rsidRDefault="00D356B7" w:rsidP="00D356B7">
      <w:pPr>
        <w:ind w:left="360"/>
        <w:jc w:val="both"/>
        <w:rPr>
          <w:color w:val="000000"/>
          <w:sz w:val="22"/>
          <w:szCs w:val="22"/>
        </w:rPr>
      </w:pPr>
      <w:r w:rsidRPr="005A243C">
        <w:t xml:space="preserve">Međimurska županija potražuje </w:t>
      </w:r>
      <w:r w:rsidR="00B2626A">
        <w:t>298.779,83</w:t>
      </w:r>
      <w:r>
        <w:t xml:space="preserve"> eura</w:t>
      </w:r>
      <w:r w:rsidRPr="005A243C">
        <w:t xml:space="preserve"> </w:t>
      </w:r>
      <w:r w:rsidR="00BE4B4B">
        <w:t xml:space="preserve">- </w:t>
      </w:r>
      <w:r w:rsidRPr="005A243C">
        <w:t>odnose</w:t>
      </w:r>
      <w:r w:rsidRPr="00041C0E">
        <w:t xml:space="preserve"> se na potraživanja za poreze, pomoći iz drugih proračuna</w:t>
      </w:r>
      <w:r>
        <w:t xml:space="preserve"> prema obračunima</w:t>
      </w:r>
      <w:r w:rsidRPr="00041C0E">
        <w:t xml:space="preserve">, koncesije, potraživanja MHRVI za refundaciju troškova braniteljima, </w:t>
      </w:r>
      <w:r>
        <w:t>i</w:t>
      </w:r>
      <w:r w:rsidRPr="00041C0E">
        <w:t>znajmljivanja i zakupa imovine</w:t>
      </w:r>
      <w:r>
        <w:t xml:space="preserve">, </w:t>
      </w:r>
      <w:r w:rsidRPr="00041C0E">
        <w:t xml:space="preserve">prema proračunskim i izvanproračunskim korisnicima kojima su izdana sredstva za </w:t>
      </w:r>
      <w:proofErr w:type="spellStart"/>
      <w:r w:rsidRPr="00041C0E">
        <w:t>predfinanciranje</w:t>
      </w:r>
      <w:proofErr w:type="spellEnd"/>
      <w:r w:rsidRPr="00041C0E">
        <w:t xml:space="preserve"> i sufinanciranje, potraživanja za pristojbe prema rješenju o ovrsi,  potraživanje prema sporazumu o obročnoj otplati duga</w:t>
      </w:r>
      <w:r>
        <w:t xml:space="preserve">, </w:t>
      </w:r>
      <w:r w:rsidRPr="00041C0E">
        <w:t>obračunati ostali nespomenuti rashodi za refundacije, obračunati prihodi na temelju ugovornih obveza, obračunati prihodi od vl</w:t>
      </w:r>
      <w:r>
        <w:t xml:space="preserve">astite </w:t>
      </w:r>
      <w:r w:rsidRPr="00041C0E">
        <w:t>djelatnosti</w:t>
      </w:r>
      <w:r>
        <w:t xml:space="preserve"> i sl.</w:t>
      </w:r>
    </w:p>
    <w:p w14:paraId="23F2BB47" w14:textId="77777777" w:rsidR="00D356B7" w:rsidRDefault="00D356B7" w:rsidP="00D356B7">
      <w:pPr>
        <w:ind w:left="360"/>
        <w:jc w:val="both"/>
      </w:pPr>
    </w:p>
    <w:p w14:paraId="5E51D860" w14:textId="4FB661EC" w:rsidR="00D356B7" w:rsidRDefault="00D356B7" w:rsidP="00D356B7">
      <w:pPr>
        <w:ind w:left="360"/>
        <w:jc w:val="both"/>
        <w:rPr>
          <w:color w:val="000000"/>
          <w:sz w:val="22"/>
          <w:szCs w:val="22"/>
        </w:rPr>
      </w:pPr>
      <w:r w:rsidRPr="00041C0E">
        <w:t xml:space="preserve">Proračunski korisnici: OŠ </w:t>
      </w:r>
      <w:proofErr w:type="spellStart"/>
      <w:r w:rsidRPr="00041C0E">
        <w:t>Belica</w:t>
      </w:r>
      <w:proofErr w:type="spellEnd"/>
      <w:r w:rsidRPr="00041C0E">
        <w:t xml:space="preserve"> – </w:t>
      </w:r>
      <w:r w:rsidR="00B2626A">
        <w:t>5.269,50</w:t>
      </w:r>
      <w:r>
        <w:t xml:space="preserve"> eura,</w:t>
      </w:r>
      <w:r w:rsidRPr="00041C0E">
        <w:t xml:space="preserve"> OŠ Domašinec -</w:t>
      </w:r>
      <w:r w:rsidR="00B2626A">
        <w:t>9.380,86</w:t>
      </w:r>
      <w:r>
        <w:t xml:space="preserve"> eura</w:t>
      </w:r>
      <w:r w:rsidRPr="00041C0E">
        <w:t xml:space="preserve">, OŠ </w:t>
      </w:r>
      <w:proofErr w:type="spellStart"/>
      <w:r w:rsidRPr="00041C0E">
        <w:t>D.Dubrava</w:t>
      </w:r>
      <w:proofErr w:type="spellEnd"/>
      <w:r w:rsidRPr="00041C0E">
        <w:t xml:space="preserve"> </w:t>
      </w:r>
      <w:r w:rsidR="00B2626A">
        <w:t>–</w:t>
      </w:r>
      <w:r>
        <w:t xml:space="preserve"> </w:t>
      </w:r>
      <w:r w:rsidR="00B2626A">
        <w:t>1.761,72</w:t>
      </w:r>
      <w:r>
        <w:t xml:space="preserve"> eura,</w:t>
      </w:r>
      <w:r w:rsidRPr="00041C0E">
        <w:t xml:space="preserve"> OŠ </w:t>
      </w:r>
      <w:proofErr w:type="spellStart"/>
      <w:r w:rsidRPr="00041C0E">
        <w:t>Draškovec</w:t>
      </w:r>
      <w:proofErr w:type="spellEnd"/>
      <w:r>
        <w:t xml:space="preserve"> </w:t>
      </w:r>
      <w:r w:rsidR="00B2626A">
        <w:t>–</w:t>
      </w:r>
      <w:r>
        <w:t xml:space="preserve"> </w:t>
      </w:r>
      <w:r w:rsidR="00B2626A">
        <w:t>2.159,64</w:t>
      </w:r>
      <w:r>
        <w:t xml:space="preserve"> eura</w:t>
      </w:r>
      <w:r w:rsidRPr="00041C0E">
        <w:t xml:space="preserve">, </w:t>
      </w:r>
      <w:r>
        <w:t xml:space="preserve">OŠ Goričan – </w:t>
      </w:r>
      <w:r w:rsidR="00B2626A">
        <w:t>2.352,04</w:t>
      </w:r>
      <w:r>
        <w:t xml:space="preserve"> eura, OŠ Gornji Mihaljevec – </w:t>
      </w:r>
      <w:r w:rsidR="00B2626A">
        <w:t>883,60</w:t>
      </w:r>
      <w:r>
        <w:t xml:space="preserve"> eura, </w:t>
      </w:r>
      <w:r w:rsidRPr="00041C0E">
        <w:t xml:space="preserve">OŠ </w:t>
      </w:r>
      <w:proofErr w:type="spellStart"/>
      <w:r w:rsidRPr="00041C0E">
        <w:t>Hodošan</w:t>
      </w:r>
      <w:proofErr w:type="spellEnd"/>
      <w:r w:rsidRPr="00041C0E">
        <w:t xml:space="preserve"> – </w:t>
      </w:r>
      <w:r w:rsidR="00B2626A">
        <w:t>3.763,16</w:t>
      </w:r>
      <w:r>
        <w:t xml:space="preserve"> eura</w:t>
      </w:r>
      <w:r w:rsidRPr="00041C0E">
        <w:t xml:space="preserve">, </w:t>
      </w:r>
      <w:r>
        <w:t xml:space="preserve">OŠ Dr. Ivana Novaka Macinec – </w:t>
      </w:r>
      <w:r w:rsidR="00B2626A">
        <w:t>107,49</w:t>
      </w:r>
      <w:r>
        <w:t xml:space="preserve"> eura, </w:t>
      </w:r>
      <w:r w:rsidRPr="00041C0E">
        <w:t>OŠ</w:t>
      </w:r>
      <w:r>
        <w:t xml:space="preserve"> Tomaša </w:t>
      </w:r>
      <w:proofErr w:type="spellStart"/>
      <w:r>
        <w:t>Goričanca</w:t>
      </w:r>
      <w:proofErr w:type="spellEnd"/>
      <w:r>
        <w:t xml:space="preserve"> Mala Subotica </w:t>
      </w:r>
      <w:r w:rsidR="00B2626A">
        <w:t>–</w:t>
      </w:r>
      <w:r>
        <w:t xml:space="preserve"> </w:t>
      </w:r>
      <w:r w:rsidR="00B2626A">
        <w:t>2.774,20</w:t>
      </w:r>
      <w:r>
        <w:t xml:space="preserve"> eura, OŠ Mursko Središće – </w:t>
      </w:r>
      <w:r w:rsidR="00B2626A">
        <w:t>2.221,23</w:t>
      </w:r>
      <w:r>
        <w:t xml:space="preserve"> eura,  OŠ Nedelišće </w:t>
      </w:r>
      <w:r w:rsidR="00B2626A">
        <w:t>9.769,50</w:t>
      </w:r>
      <w:r>
        <w:t xml:space="preserve"> eura, OŠ Orehovica </w:t>
      </w:r>
      <w:r w:rsidR="00B2626A">
        <w:t>6.119,55</w:t>
      </w:r>
      <w:r>
        <w:t xml:space="preserve"> eura, OŠ Podturen </w:t>
      </w:r>
      <w:r w:rsidR="00B2626A">
        <w:t>4.927,12</w:t>
      </w:r>
      <w:r>
        <w:t xml:space="preserve"> eura, OŠ Prelog </w:t>
      </w:r>
      <w:r w:rsidR="00B2626A">
        <w:t>24.327,03</w:t>
      </w:r>
      <w:r>
        <w:t xml:space="preserve"> eura, OŠ Vladimira Nazora Pribislavec – </w:t>
      </w:r>
      <w:r w:rsidR="00B2626A">
        <w:t>8.177,81</w:t>
      </w:r>
      <w:r>
        <w:t xml:space="preserve"> eura, OŠ Selnica </w:t>
      </w:r>
      <w:r w:rsidR="00B2626A">
        <w:t>3.214,98</w:t>
      </w:r>
      <w:r>
        <w:t xml:space="preserve"> eura, OŠ Strahoninec 1</w:t>
      </w:r>
      <w:r w:rsidR="00B2626A">
        <w:t>2.096,31</w:t>
      </w:r>
      <w:r>
        <w:t xml:space="preserve"> eura, OŠ Ivana Gorana Kovačića Sveti Juraj na Bregu </w:t>
      </w:r>
      <w:r w:rsidR="00B2626A">
        <w:t>4.686,75</w:t>
      </w:r>
      <w:r>
        <w:t xml:space="preserve"> eura, OŠ Sveta Marija </w:t>
      </w:r>
      <w:r w:rsidR="00B2626A">
        <w:t>85,24</w:t>
      </w:r>
      <w:r>
        <w:t xml:space="preserve"> eura, OŠ Sveti Martin na Muri </w:t>
      </w:r>
      <w:r w:rsidR="00B2626A">
        <w:t>3,20</w:t>
      </w:r>
      <w:r>
        <w:t xml:space="preserve"> eura, OŠ Petar Zrinski Šenkovec </w:t>
      </w:r>
      <w:r w:rsidR="00B2626A">
        <w:t>6.133,42</w:t>
      </w:r>
      <w:r>
        <w:t xml:space="preserve"> eura, </w:t>
      </w:r>
      <w:r w:rsidR="00B2626A">
        <w:t xml:space="preserve">OŠ Štrigova – 625,00, </w:t>
      </w:r>
      <w:r>
        <w:t xml:space="preserve">OŠ Dr. Vinka Žganca Vratišinec – </w:t>
      </w:r>
      <w:r w:rsidR="00B2626A">
        <w:t>26,9</w:t>
      </w:r>
      <w:r>
        <w:t xml:space="preserve">1 eura, SŠ Ekonomska i trgovačka škola Čakovec </w:t>
      </w:r>
      <w:r w:rsidR="00B2626A">
        <w:t>12.054,94</w:t>
      </w:r>
      <w:r>
        <w:t xml:space="preserve"> eura, Gimnazija Čakovec </w:t>
      </w:r>
      <w:r w:rsidR="00B2626A">
        <w:t>7.825,58</w:t>
      </w:r>
      <w:r>
        <w:t xml:space="preserve"> eura, SŠ Gospodarska </w:t>
      </w:r>
      <w:r w:rsidR="00B2626A">
        <w:t>35.904,36</w:t>
      </w:r>
      <w:r>
        <w:t xml:space="preserve"> eura, SŠ Graditeljska </w:t>
      </w:r>
      <w:r w:rsidR="00B2626A">
        <w:t>78</w:t>
      </w:r>
      <w:r>
        <w:t>.</w:t>
      </w:r>
      <w:r w:rsidR="00B2626A">
        <w:t>545,74</w:t>
      </w:r>
      <w:r>
        <w:t xml:space="preserve"> eura, Srednja škola Prelog – </w:t>
      </w:r>
      <w:r w:rsidR="00B2626A">
        <w:t>3.157,22</w:t>
      </w:r>
      <w:r>
        <w:t xml:space="preserve"> eura, Tehnička škola Čakovec </w:t>
      </w:r>
      <w:r w:rsidR="00B2626A">
        <w:t>1.141,93</w:t>
      </w:r>
      <w:r>
        <w:t xml:space="preserve"> eura, Zavod za prostorno uređenje – </w:t>
      </w:r>
      <w:r w:rsidR="00B2626A">
        <w:t>1.121,16</w:t>
      </w:r>
      <w:r>
        <w:t xml:space="preserve"> eura, JU Međimurska priroda – 1.</w:t>
      </w:r>
      <w:r w:rsidR="00B2626A">
        <w:t>872,90</w:t>
      </w:r>
      <w:r>
        <w:t xml:space="preserve"> eura, Muzej Međimurja – 2</w:t>
      </w:r>
      <w:r w:rsidR="00B2626A">
        <w:t>7</w:t>
      </w:r>
      <w:r>
        <w:t>.</w:t>
      </w:r>
      <w:r w:rsidR="00B2626A">
        <w:t>075</w:t>
      </w:r>
      <w:r>
        <w:t>,</w:t>
      </w:r>
      <w:r w:rsidR="00B2626A">
        <w:t>28</w:t>
      </w:r>
      <w:r>
        <w:t xml:space="preserve"> eura, JU </w:t>
      </w:r>
      <w:proofErr w:type="spellStart"/>
      <w:r>
        <w:t>Redea</w:t>
      </w:r>
      <w:proofErr w:type="spellEnd"/>
      <w:r>
        <w:t xml:space="preserve"> </w:t>
      </w:r>
      <w:r w:rsidR="00B2626A">
        <w:t>504.883,92</w:t>
      </w:r>
      <w:r>
        <w:t xml:space="preserve"> eura, Razvojno-edukacijski centar za metalsku industriju – Metalska jezgra – </w:t>
      </w:r>
      <w:r w:rsidR="00B2626A">
        <w:t>32.755,15</w:t>
      </w:r>
      <w:r>
        <w:t xml:space="preserve"> eura, Sigurna kuća </w:t>
      </w:r>
      <w:r w:rsidR="00B2626A">
        <w:t>115,85</w:t>
      </w:r>
      <w:r>
        <w:t xml:space="preserve"> eura, Dom za starije i nemoćne osobe Čakovec </w:t>
      </w:r>
      <w:r w:rsidR="00B2626A">
        <w:t>11.047,04</w:t>
      </w:r>
      <w:r>
        <w:t xml:space="preserve"> eura, Zavod za hitnu medicinu – </w:t>
      </w:r>
      <w:r w:rsidR="00B2626A">
        <w:t>509.644,73</w:t>
      </w:r>
      <w:r>
        <w:t xml:space="preserve"> eura, Zavod za javno zdravstvo – </w:t>
      </w:r>
      <w:r w:rsidR="00B2626A">
        <w:t>454.898,67</w:t>
      </w:r>
      <w:r>
        <w:t xml:space="preserve"> eura, Dom zdravlja – </w:t>
      </w:r>
      <w:r w:rsidR="00B2626A">
        <w:t>430.892,40</w:t>
      </w:r>
      <w:r>
        <w:t xml:space="preserve"> eura</w:t>
      </w:r>
      <w:r w:rsidR="00B2626A">
        <w:t>.</w:t>
      </w:r>
    </w:p>
    <w:p w14:paraId="2BAC07C2" w14:textId="77777777" w:rsidR="00D356B7" w:rsidRDefault="00D356B7" w:rsidP="00D356B7">
      <w:pPr>
        <w:ind w:left="360"/>
        <w:jc w:val="both"/>
        <w:rPr>
          <w:b/>
        </w:rPr>
      </w:pPr>
    </w:p>
    <w:p w14:paraId="5DABA8EC" w14:textId="03DD4FC9" w:rsidR="00D356B7" w:rsidRDefault="00D356B7" w:rsidP="00D356B7">
      <w:pPr>
        <w:ind w:left="360"/>
        <w:jc w:val="both"/>
        <w:rPr>
          <w:color w:val="000000"/>
          <w:sz w:val="22"/>
          <w:szCs w:val="22"/>
        </w:rPr>
      </w:pPr>
      <w:r w:rsidRPr="00997846">
        <w:rPr>
          <w:b/>
        </w:rPr>
        <w:t>Stanje nepodmirenih dospjelih obveza proračuna i proračunskih korisnika -</w:t>
      </w:r>
      <w:r w:rsidRPr="00997846">
        <w:t xml:space="preserve"> ukupne</w:t>
      </w:r>
      <w:r w:rsidRPr="00FD273E">
        <w:t xml:space="preserve"> obveze</w:t>
      </w:r>
      <w:r>
        <w:t xml:space="preserve"> </w:t>
      </w:r>
      <w:r w:rsidRPr="00FD273E">
        <w:t>na dan 31.12.202</w:t>
      </w:r>
      <w:r w:rsidR="00C30542">
        <w:t>4</w:t>
      </w:r>
      <w:r w:rsidRPr="00FD273E">
        <w:t xml:space="preserve">. godine iznose </w:t>
      </w:r>
      <w:r w:rsidR="002D2E76" w:rsidRPr="00925D45">
        <w:rPr>
          <w:b/>
          <w:bCs/>
        </w:rPr>
        <w:t>9.204.903,76</w:t>
      </w:r>
      <w:r w:rsidRPr="00925D45">
        <w:rPr>
          <w:b/>
          <w:bCs/>
        </w:rPr>
        <w:t xml:space="preserve"> eura</w:t>
      </w:r>
      <w:r>
        <w:t xml:space="preserve">. </w:t>
      </w:r>
      <w:r w:rsidRPr="00925D45">
        <w:rPr>
          <w:b/>
          <w:bCs/>
        </w:rPr>
        <w:t>Nedospjele obveze</w:t>
      </w:r>
      <w:r w:rsidRPr="00FD273E">
        <w:t xml:space="preserve"> </w:t>
      </w:r>
      <w:r>
        <w:t xml:space="preserve">konsolidiranog proračuna </w:t>
      </w:r>
      <w:r w:rsidRPr="00FD273E">
        <w:t>iznos</w:t>
      </w:r>
      <w:r>
        <w:t>e</w:t>
      </w:r>
      <w:r w:rsidRPr="00FD273E">
        <w:t xml:space="preserve"> </w:t>
      </w:r>
      <w:r w:rsidR="002D2E76" w:rsidRPr="00925D45">
        <w:rPr>
          <w:b/>
          <w:bCs/>
        </w:rPr>
        <w:t>8.457.821,19</w:t>
      </w:r>
      <w:r>
        <w:t xml:space="preserve"> eura dok </w:t>
      </w:r>
      <w:r w:rsidRPr="00D356B7">
        <w:rPr>
          <w:b/>
          <w:bCs/>
        </w:rPr>
        <w:t>nepodmirene dospjele obveze</w:t>
      </w:r>
      <w:r>
        <w:t xml:space="preserve"> iznose </w:t>
      </w:r>
      <w:r w:rsidR="002D2E76">
        <w:rPr>
          <w:b/>
          <w:bCs/>
        </w:rPr>
        <w:t>747.082,57</w:t>
      </w:r>
      <w:r w:rsidRPr="00D356B7">
        <w:rPr>
          <w:b/>
          <w:bCs/>
        </w:rPr>
        <w:t xml:space="preserve"> eura</w:t>
      </w:r>
      <w:r>
        <w:t xml:space="preserve"> i</w:t>
      </w:r>
      <w:r w:rsidRPr="00FD273E">
        <w:t xml:space="preserve"> to kako slijedi:</w:t>
      </w:r>
      <w:r>
        <w:t xml:space="preserve"> Međimurska županija </w:t>
      </w:r>
      <w:r w:rsidR="00925D45">
        <w:t xml:space="preserve">641.521,28 </w:t>
      </w:r>
      <w:r>
        <w:t xml:space="preserve">eura, </w:t>
      </w:r>
      <w:r w:rsidR="00925D45">
        <w:t xml:space="preserve">Osnovna škola Domašinec 12.575,00 eura, Osnovna škola Donja Dubrava 24,27 eura, </w:t>
      </w:r>
      <w:r>
        <w:t xml:space="preserve">Osnovna škola Goričan </w:t>
      </w:r>
      <w:r w:rsidR="00925D45">
        <w:t>8.380,35</w:t>
      </w:r>
      <w:r>
        <w:t xml:space="preserve"> eura, Osnovna škola Kotoriba </w:t>
      </w:r>
      <w:r w:rsidR="00925D45">
        <w:t>9.816,41</w:t>
      </w:r>
      <w:r>
        <w:t xml:space="preserve"> eura, Osnovna škola Podturen </w:t>
      </w:r>
      <w:r w:rsidR="00925D45">
        <w:t>20.757,18</w:t>
      </w:r>
      <w:r>
        <w:t xml:space="preserve"> eura, OŠ Strahoninec </w:t>
      </w:r>
      <w:r w:rsidR="00925D45">
        <w:t>2.710,18</w:t>
      </w:r>
      <w:r>
        <w:t xml:space="preserve"> eura, OŠ Sveti Martin na Muri </w:t>
      </w:r>
      <w:r w:rsidR="00925D45">
        <w:t>2.676,98</w:t>
      </w:r>
      <w:r>
        <w:t xml:space="preserve"> eura, OŠ Petar Zrinski Šenkovec </w:t>
      </w:r>
      <w:r w:rsidR="00925D45">
        <w:t>1.853,50</w:t>
      </w:r>
      <w:r>
        <w:t xml:space="preserve"> eura, Ekonomska i trgovačka škola Čakovec </w:t>
      </w:r>
      <w:r w:rsidR="00925D45">
        <w:t>1.104,60</w:t>
      </w:r>
      <w:r>
        <w:t xml:space="preserve"> eura, Gospodarska škola Čakovec </w:t>
      </w:r>
      <w:r w:rsidR="00925D45">
        <w:t>880,12</w:t>
      </w:r>
      <w:r>
        <w:t xml:space="preserve"> eura, Graditeljska škola Čakovec </w:t>
      </w:r>
      <w:r w:rsidR="00925D45">
        <w:t>32.283,74</w:t>
      </w:r>
      <w:r>
        <w:t xml:space="preserve"> eura, Tehnička škola Čakovec 5.</w:t>
      </w:r>
      <w:r w:rsidR="00925D45">
        <w:t>869</w:t>
      </w:r>
      <w:r>
        <w:t>,</w:t>
      </w:r>
      <w:r w:rsidR="00925D45">
        <w:t>20</w:t>
      </w:r>
      <w:r>
        <w:t xml:space="preserve"> eura, Muzej Međimurja 1</w:t>
      </w:r>
      <w:r w:rsidR="00925D45">
        <w:t>.448,47</w:t>
      </w:r>
      <w:r>
        <w:t xml:space="preserve"> eura, Zavod za hitnu medicinu </w:t>
      </w:r>
      <w:r w:rsidR="00925D45">
        <w:t>260,00</w:t>
      </w:r>
      <w:r>
        <w:t xml:space="preserve"> eura</w:t>
      </w:r>
      <w:r w:rsidR="00925D45">
        <w:t xml:space="preserve"> i</w:t>
      </w:r>
      <w:r>
        <w:t xml:space="preserve"> Dom zdravlja </w:t>
      </w:r>
      <w:r w:rsidR="00925D45">
        <w:t xml:space="preserve">4.921,29 </w:t>
      </w:r>
      <w:r>
        <w:t>eura</w:t>
      </w:r>
      <w:r w:rsidR="00925D45">
        <w:t>.</w:t>
      </w:r>
      <w:r>
        <w:t xml:space="preserve"> </w:t>
      </w:r>
    </w:p>
    <w:p w14:paraId="42F8D811" w14:textId="77777777" w:rsidR="00D356B7" w:rsidRDefault="00D356B7" w:rsidP="00D356B7">
      <w:pPr>
        <w:ind w:left="360"/>
        <w:jc w:val="both"/>
        <w:rPr>
          <w:b/>
          <w:bCs/>
        </w:rPr>
      </w:pPr>
    </w:p>
    <w:p w14:paraId="0DDF09E2" w14:textId="1D7C41E6" w:rsidR="00D356B7" w:rsidRPr="00D356B7" w:rsidRDefault="00D356B7" w:rsidP="00D356B7">
      <w:pPr>
        <w:ind w:left="360"/>
        <w:jc w:val="both"/>
        <w:rPr>
          <w:color w:val="000000"/>
          <w:sz w:val="22"/>
          <w:szCs w:val="22"/>
        </w:rPr>
      </w:pPr>
      <w:r w:rsidRPr="00D356B7">
        <w:rPr>
          <w:b/>
          <w:bCs/>
        </w:rPr>
        <w:t>Potencijalne obveze</w:t>
      </w:r>
      <w:r>
        <w:t xml:space="preserve"> kod nekih proračunskih korisnika odnose se na sporove iz radnih odnosa za neisplaćene razlike plaća te se za iste prikazuje popis u konsolidiranom </w:t>
      </w:r>
      <w:r w:rsidRPr="00CC60EA">
        <w:t>pregledu potencijalnih obveza (sporovi)</w:t>
      </w:r>
      <w:r>
        <w:t xml:space="preserve"> na kraju ovog obrazloženja</w:t>
      </w:r>
      <w:r w:rsidRPr="00CC60EA">
        <w:t>, dok se potencijalne obveze po izdanim jamstvima nalaze unutar pregleda za točku 5 – izdana jamstva.</w:t>
      </w:r>
    </w:p>
    <w:p w14:paraId="3FD2B352" w14:textId="44A5009B" w:rsidR="00AB06D4" w:rsidRDefault="00AB06D4">
      <w:pPr>
        <w:spacing w:after="160" w:line="259" w:lineRule="auto"/>
        <w:rPr>
          <w:b/>
          <w:noProof/>
        </w:rPr>
      </w:pPr>
      <w:r>
        <w:rPr>
          <w:b/>
          <w:noProof/>
        </w:rPr>
        <w:br w:type="page"/>
      </w:r>
    </w:p>
    <w:p w14:paraId="0915011F" w14:textId="77777777" w:rsidR="00D356B7" w:rsidRDefault="00D356B7" w:rsidP="00D356B7">
      <w:pPr>
        <w:pStyle w:val="Odlomakpopisa"/>
        <w:ind w:left="1065"/>
        <w:jc w:val="both"/>
        <w:rPr>
          <w:b/>
          <w:noProof/>
        </w:rPr>
      </w:pPr>
    </w:p>
    <w:p w14:paraId="6BB3EB01" w14:textId="77777777" w:rsidR="00D356B7" w:rsidRPr="00D356B7" w:rsidRDefault="00D356B7" w:rsidP="00D356B7">
      <w:pPr>
        <w:jc w:val="both"/>
        <w:rPr>
          <w:b/>
          <w:noProof/>
        </w:rPr>
      </w:pPr>
    </w:p>
    <w:p w14:paraId="1F7D188E" w14:textId="77777777" w:rsidR="008805ED" w:rsidRPr="008805ED" w:rsidRDefault="008805ED" w:rsidP="00D443A6">
      <w:pPr>
        <w:jc w:val="both"/>
        <w:rPr>
          <w:b/>
        </w:rPr>
      </w:pPr>
      <w:r w:rsidRPr="008805ED">
        <w:rPr>
          <w:b/>
        </w:rPr>
        <w:t>Izvršenje po programskoj klasifikaciji:</w:t>
      </w:r>
    </w:p>
    <w:p w14:paraId="1D23B7B6" w14:textId="77777777" w:rsidR="008805ED" w:rsidRDefault="008805ED" w:rsidP="00D443A6">
      <w:pPr>
        <w:jc w:val="both"/>
      </w:pPr>
    </w:p>
    <w:p w14:paraId="602037DB" w14:textId="55633BED" w:rsidR="00747769" w:rsidRDefault="00562438" w:rsidP="00D443A6">
      <w:pPr>
        <w:jc w:val="both"/>
      </w:pPr>
      <w:r>
        <w:t xml:space="preserve">RAZDJEL - </w:t>
      </w:r>
      <w:r w:rsidR="002F17E6">
        <w:t>100</w:t>
      </w:r>
      <w:r w:rsidR="00747769">
        <w:t xml:space="preserve"> – </w:t>
      </w:r>
      <w:r w:rsidR="00DC4139">
        <w:t>Služba</w:t>
      </w:r>
      <w:r w:rsidR="00747769">
        <w:t xml:space="preserve"> za poslove župana</w:t>
      </w:r>
      <w:r>
        <w:t xml:space="preserve"> –</w:t>
      </w:r>
      <w:r w:rsidR="00C74830">
        <w:t xml:space="preserve"> </w:t>
      </w:r>
      <w:r w:rsidR="00D361BB">
        <w:t xml:space="preserve">izvršenje </w:t>
      </w:r>
      <w:r w:rsidR="00C74830">
        <w:t xml:space="preserve">je </w:t>
      </w:r>
      <w:r w:rsidR="00005439">
        <w:t>92</w:t>
      </w:r>
      <w:r w:rsidR="002F17E6">
        <w:t>,1</w:t>
      </w:r>
      <w:r w:rsidR="00005439">
        <w:t>7</w:t>
      </w:r>
      <w:r w:rsidR="00DC4139">
        <w:t>%</w:t>
      </w:r>
      <w:r w:rsidR="00C74830">
        <w:t xml:space="preserve"> u odnosu na plan</w:t>
      </w:r>
      <w:r>
        <w:t xml:space="preserve">, najveći udio pripada Odsjeku za </w:t>
      </w:r>
      <w:r w:rsidR="002F17E6">
        <w:t xml:space="preserve">opće poslove </w:t>
      </w:r>
      <w:r>
        <w:t>(</w:t>
      </w:r>
      <w:r w:rsidR="00005439">
        <w:t xml:space="preserve">1.027.096,72 </w:t>
      </w:r>
      <w:r w:rsidR="002F17E6">
        <w:t>eura)</w:t>
      </w:r>
      <w:r w:rsidR="00C74830">
        <w:t xml:space="preserve"> u sklopu kojeg se evidentiraju </w:t>
      </w:r>
      <w:r w:rsidR="00005439">
        <w:t>materijalni te kapitalni rashodi Međimurske županije (režije, investicijsko održavanje, nabava nefinancijske imovine, ulaganja, obveze prema Vatrogasnoj zajednici</w:t>
      </w:r>
      <w:r w:rsidR="009A65DC">
        <w:t>, Javnoj vatrogasnoj postrojbi</w:t>
      </w:r>
      <w:r w:rsidR="00005439">
        <w:t xml:space="preserve"> i civilnoj zaštiti) te </w:t>
      </w:r>
      <w:r w:rsidR="00C74830">
        <w:t xml:space="preserve">aktivnosti vezane uz Projekt </w:t>
      </w:r>
      <w:proofErr w:type="spellStart"/>
      <w:r w:rsidR="00C74830">
        <w:t>Medea</w:t>
      </w:r>
      <w:proofErr w:type="spellEnd"/>
      <w:r w:rsidR="00005439">
        <w:t>. P</w:t>
      </w:r>
      <w:r>
        <w:t xml:space="preserve">reostali rashodi pripadaju Odsjeku za </w:t>
      </w:r>
      <w:r w:rsidR="002F17E6">
        <w:t xml:space="preserve">zajedničke potrebe </w:t>
      </w:r>
      <w:r>
        <w:t xml:space="preserve">i Odsjeku za </w:t>
      </w:r>
      <w:r w:rsidR="002F17E6">
        <w:t>odnose s javnošću i protokol</w:t>
      </w:r>
      <w:r w:rsidR="002D2329">
        <w:t xml:space="preserve"> unutar koje</w:t>
      </w:r>
      <w:r w:rsidR="009A65DC">
        <w:t>g</w:t>
      </w:r>
      <w:r w:rsidR="002D2329">
        <w:t xml:space="preserve"> se evidentiraju rashodi za zaklade Međimurske županije, </w:t>
      </w:r>
      <w:r w:rsidR="00C804F3">
        <w:t>Hrvatsku zajednicu županija, potpore zavičajnim društvima te rashodi nastali za nepredviđene situacije (tekuće zalihe).</w:t>
      </w:r>
    </w:p>
    <w:p w14:paraId="4F0BAD84" w14:textId="77777777" w:rsidR="00877AB1" w:rsidRDefault="00877AB1" w:rsidP="00747769">
      <w:pPr>
        <w:jc w:val="both"/>
      </w:pPr>
    </w:p>
    <w:p w14:paraId="3ADA23F2" w14:textId="22F0324D" w:rsidR="00D761C2" w:rsidRDefault="00562438" w:rsidP="00747769">
      <w:pPr>
        <w:jc w:val="both"/>
      </w:pPr>
      <w:r>
        <w:t xml:space="preserve">RAZDJEL - </w:t>
      </w:r>
      <w:r w:rsidR="00D761C2">
        <w:t>200</w:t>
      </w:r>
      <w:r w:rsidR="00747769">
        <w:t xml:space="preserve"> –</w:t>
      </w:r>
      <w:r w:rsidR="00D761C2">
        <w:t xml:space="preserve"> Upravni odjel za proračun i javnu nabavu </w:t>
      </w:r>
      <w:r w:rsidR="0021179E">
        <w:t>–</w:t>
      </w:r>
      <w:r w:rsidR="00D761C2">
        <w:t xml:space="preserve"> </w:t>
      </w:r>
      <w:r w:rsidR="00136F82">
        <w:t xml:space="preserve">izvršenje 96,67%, </w:t>
      </w:r>
      <w:r w:rsidR="0021179E">
        <w:t xml:space="preserve">sadrži rashode vezane uz </w:t>
      </w:r>
      <w:r w:rsidR="00136F82">
        <w:t>plaće i naknade zaposlenicima Međimurske županije, te materijalne rashode i izdatke vezano uz financijske izdatke (rashodi bankama, zaduženja, otplate kredita). Unutar o</w:t>
      </w:r>
      <w:r w:rsidR="0021179E">
        <w:t>dsjek</w:t>
      </w:r>
      <w:r w:rsidR="00136F82">
        <w:t>a</w:t>
      </w:r>
      <w:r w:rsidR="0021179E">
        <w:t xml:space="preserve"> za javnu nabavu </w:t>
      </w:r>
      <w:r w:rsidR="00136F82">
        <w:t>evidentirani su rashodi vezani uz,</w:t>
      </w:r>
      <w:r w:rsidR="0021179E">
        <w:t xml:space="preserve"> najvećim dijelom</w:t>
      </w:r>
      <w:r w:rsidR="00136F82">
        <w:t>,</w:t>
      </w:r>
      <w:r w:rsidR="0021179E">
        <w:t xml:space="preserve"> objav</w:t>
      </w:r>
      <w:r w:rsidR="00136F82">
        <w:t>e</w:t>
      </w:r>
      <w:r w:rsidR="0021179E">
        <w:t xml:space="preserve"> postupaka </w:t>
      </w:r>
      <w:r w:rsidR="0074305C">
        <w:t>javne nabave i natječaja. Manji dio rashoda</w:t>
      </w:r>
      <w:r w:rsidR="00136F82">
        <w:t xml:space="preserve"> kod navedenog </w:t>
      </w:r>
      <w:proofErr w:type="spellStart"/>
      <w:r w:rsidR="00136F82">
        <w:t>Osjeka</w:t>
      </w:r>
      <w:proofErr w:type="spellEnd"/>
      <w:r w:rsidR="0074305C">
        <w:t xml:space="preserve"> se odnosi na intelektualne usluge vezane uz tehničk</w:t>
      </w:r>
      <w:r w:rsidR="00136F82">
        <w:t>u</w:t>
      </w:r>
      <w:r w:rsidR="0074305C">
        <w:t xml:space="preserve"> pripremu postupaka javne nabave.</w:t>
      </w:r>
    </w:p>
    <w:p w14:paraId="14D95286" w14:textId="77777777" w:rsidR="0074305C" w:rsidRDefault="0074305C" w:rsidP="00747769">
      <w:pPr>
        <w:jc w:val="both"/>
      </w:pPr>
    </w:p>
    <w:p w14:paraId="5B27B353" w14:textId="383BF0D9" w:rsidR="00EF6222" w:rsidRDefault="0074305C" w:rsidP="00747769">
      <w:pPr>
        <w:jc w:val="both"/>
      </w:pPr>
      <w:r>
        <w:t xml:space="preserve">RAZDJEL - 300 </w:t>
      </w:r>
      <w:r w:rsidR="00747769">
        <w:t>Upravni odjel za Skup</w:t>
      </w:r>
      <w:r w:rsidR="00562438">
        <w:t>štinu</w:t>
      </w:r>
      <w:r>
        <w:t>, opću upravu</w:t>
      </w:r>
      <w:r w:rsidR="00562438">
        <w:t xml:space="preserve"> i pravne poslove – izvršenje </w:t>
      </w:r>
      <w:r w:rsidR="00DF4E3E">
        <w:t>manje u odnosu na</w:t>
      </w:r>
      <w:r w:rsidR="00562438">
        <w:t xml:space="preserve"> plan</w:t>
      </w:r>
      <w:r w:rsidR="00DF4E3E">
        <w:t>,</w:t>
      </w:r>
      <w:r w:rsidR="00562438">
        <w:t xml:space="preserve"> </w:t>
      </w:r>
      <w:r w:rsidR="00CA2BC3">
        <w:t>91</w:t>
      </w:r>
      <w:r>
        <w:t>,</w:t>
      </w:r>
      <w:r w:rsidR="00CA2BC3">
        <w:t>63</w:t>
      </w:r>
      <w:r w:rsidR="00AE0B07">
        <w:t xml:space="preserve">%, a najveći udio pripada rashodima vezanim </w:t>
      </w:r>
      <w:r w:rsidR="00DF4E3E">
        <w:t>uz</w:t>
      </w:r>
      <w:r w:rsidR="00CA2BC3">
        <w:t xml:space="preserve"> Izbore za članove u Europski parlament,</w:t>
      </w:r>
      <w:r w:rsidR="00DF4E3E">
        <w:t xml:space="preserve"> </w:t>
      </w:r>
      <w:r w:rsidR="00CA2BC3">
        <w:t xml:space="preserve">Izbore za predsjednika Republike Hrvatske i Izbore za zastupnike u Hrvatski sabor, kao i za </w:t>
      </w:r>
      <w:r w:rsidR="00DF4E3E">
        <w:t>isplatu naknada za rad predstavničkih i izvršnih tijela, povjerenstva odnosno za predsjednika, zamjenike i vijećnike Skupštine</w:t>
      </w:r>
      <w:r w:rsidR="00CA2BC3">
        <w:t xml:space="preserve"> te</w:t>
      </w:r>
      <w:r w:rsidR="00DF4E3E">
        <w:t xml:space="preserve"> rashodima vezanim uz održavanje sjednica Skupštine. Isplate političkim strankama izvršene su u skladu s donesenom odlukom za 202</w:t>
      </w:r>
      <w:r w:rsidR="00CA2BC3">
        <w:t>4</w:t>
      </w:r>
      <w:r w:rsidR="00DF4E3E">
        <w:t xml:space="preserve">. godinu i iznose </w:t>
      </w:r>
      <w:r>
        <w:t>51.761,46 eura</w:t>
      </w:r>
      <w:r w:rsidR="00CA2BC3">
        <w:t>.</w:t>
      </w:r>
      <w:r w:rsidR="00EF6222">
        <w:t xml:space="preserve"> </w:t>
      </w:r>
    </w:p>
    <w:p w14:paraId="0E0C7C72" w14:textId="74AE62A6" w:rsidR="00747769" w:rsidRDefault="00DF4E3E" w:rsidP="00747769">
      <w:pPr>
        <w:jc w:val="both"/>
      </w:pPr>
      <w:r>
        <w:t xml:space="preserve">Unutar Odsjeka za </w:t>
      </w:r>
      <w:r w:rsidR="0074305C">
        <w:t>imovinsko-</w:t>
      </w:r>
      <w:r>
        <w:t xml:space="preserve">pravne poslove izvršenje </w:t>
      </w:r>
      <w:r w:rsidR="001C41DC">
        <w:t xml:space="preserve">iznosi </w:t>
      </w:r>
      <w:r w:rsidR="00CA2BC3">
        <w:t>46,56</w:t>
      </w:r>
      <w:r w:rsidR="001C41DC">
        <w:t>%</w:t>
      </w:r>
      <w:r w:rsidR="0074305C">
        <w:t xml:space="preserve">, </w:t>
      </w:r>
      <w:r w:rsidR="00EF6222">
        <w:t>i odnosi se na nabavu uredskog materijala</w:t>
      </w:r>
      <w:r w:rsidR="002F2CCB">
        <w:t xml:space="preserve"> te </w:t>
      </w:r>
      <w:r w:rsidR="00CC2AA1">
        <w:t xml:space="preserve">intelektualne usluge za postupke vezane uz </w:t>
      </w:r>
      <w:r w:rsidR="008906CE">
        <w:t xml:space="preserve">državne </w:t>
      </w:r>
      <w:r w:rsidR="00CC2AA1">
        <w:t>nekretnine,</w:t>
      </w:r>
      <w:r w:rsidR="00EF6222">
        <w:t xml:space="preserve"> </w:t>
      </w:r>
      <w:r w:rsidR="0074305C">
        <w:t>dok se unutar Odsjeka za osobna stanja građana</w:t>
      </w:r>
      <w:r w:rsidR="00952DCF">
        <w:t xml:space="preserve"> (izvršenje 74,40% u odnosu na plan) </w:t>
      </w:r>
      <w:r w:rsidR="0074305C">
        <w:t>evidentiraju naknade za rad matičara za vjenčanja izvan radnog vremena i izvan službenih prostorija, kao i rashodi za nabavu službene odjeće i uredskog materijala</w:t>
      </w:r>
      <w:r w:rsidR="008906CE">
        <w:t xml:space="preserve"> </w:t>
      </w:r>
      <w:r w:rsidR="0074305C">
        <w:t>za potrebe isti</w:t>
      </w:r>
      <w:r w:rsidR="00952DCF">
        <w:t>h</w:t>
      </w:r>
      <w:r w:rsidR="0074305C">
        <w:t>.</w:t>
      </w:r>
    </w:p>
    <w:p w14:paraId="100ECC93" w14:textId="77777777" w:rsidR="00877AB1" w:rsidRDefault="00877AB1" w:rsidP="00D443A6">
      <w:pPr>
        <w:jc w:val="both"/>
      </w:pPr>
    </w:p>
    <w:p w14:paraId="78843E7E" w14:textId="750B8183" w:rsidR="00CF3CAC" w:rsidRDefault="00AE0B07" w:rsidP="00D443A6">
      <w:pPr>
        <w:jc w:val="both"/>
      </w:pPr>
      <w:r w:rsidRPr="000E6DB8">
        <w:t xml:space="preserve">RAZDJEL - </w:t>
      </w:r>
      <w:r w:rsidR="003C7F17">
        <w:t>400</w:t>
      </w:r>
      <w:r w:rsidR="00747769" w:rsidRPr="000E6DB8">
        <w:t xml:space="preserve"> – Upravni odjel za gospodarstvo, poljoprivredu i turizam – </w:t>
      </w:r>
      <w:r w:rsidRPr="000E6DB8">
        <w:t xml:space="preserve">izvršenje od </w:t>
      </w:r>
      <w:r w:rsidR="00C60F7E">
        <w:t>90,26</w:t>
      </w:r>
      <w:r w:rsidRPr="000E6DB8">
        <w:t xml:space="preserve"> %, a</w:t>
      </w:r>
      <w:r>
        <w:t xml:space="preserve"> najveći udio pripada </w:t>
      </w:r>
      <w:r w:rsidR="00152D77">
        <w:t>p</w:t>
      </w:r>
      <w:r>
        <w:t>rogram</w:t>
      </w:r>
      <w:r w:rsidR="00152D77">
        <w:t>u</w:t>
      </w:r>
      <w:r>
        <w:t xml:space="preserve"> Aktivnosti gospodarstva u sklopu kojih se nalaze i rashodi Javne ustanove za razvoje Međimurske županije „REDEA“</w:t>
      </w:r>
      <w:r w:rsidR="000E1D87">
        <w:t xml:space="preserve"> čiji ukupni rashodi iznose </w:t>
      </w:r>
      <w:r w:rsidR="00C60F7E">
        <w:t>902.687,20</w:t>
      </w:r>
      <w:r w:rsidR="000E1D87">
        <w:t xml:space="preserve"> eura</w:t>
      </w:r>
      <w:r>
        <w:t xml:space="preserve">, te Razvojno-edukacijski centar za metalsku industriju </w:t>
      </w:r>
      <w:r w:rsidR="000334FD">
        <w:t xml:space="preserve">- </w:t>
      </w:r>
      <w:r>
        <w:t>Metalska jezgra</w:t>
      </w:r>
      <w:r w:rsidR="000E1D87">
        <w:t xml:space="preserve"> s ukupnim rashodima u iznosu od </w:t>
      </w:r>
      <w:r w:rsidR="00C60F7E">
        <w:t>328.600,04</w:t>
      </w:r>
      <w:r w:rsidR="000E1D87">
        <w:t xml:space="preserve"> eura</w:t>
      </w:r>
      <w:r>
        <w:t xml:space="preserve">. </w:t>
      </w:r>
      <w:r w:rsidR="00CF3CAC">
        <w:t xml:space="preserve">Putem programa potpora poduzetnicima dodijeljene su subvencije u iznosu od </w:t>
      </w:r>
      <w:r w:rsidR="00C60F7E">
        <w:t>160.113,81</w:t>
      </w:r>
      <w:r w:rsidR="00CF3CAC">
        <w:t xml:space="preserve"> eura, dok su se građanima i kućanstvima dodijelile naknade za sufinanciranje povećanja energetske učinkovitosti i korištenja obnovljivih izvora energije u obiteljskim kućama</w:t>
      </w:r>
      <w:r w:rsidR="00C60F7E">
        <w:t xml:space="preserve"> u iznosu od 99.945,50 eura</w:t>
      </w:r>
      <w:r w:rsidR="00CF3CAC">
        <w:t>.</w:t>
      </w:r>
    </w:p>
    <w:p w14:paraId="520F7978" w14:textId="4FFB3B1B" w:rsidR="002E3ACC" w:rsidRDefault="002E3ACC" w:rsidP="00D443A6">
      <w:pPr>
        <w:jc w:val="both"/>
      </w:pPr>
      <w:r>
        <w:t xml:space="preserve">U Odsjeku za poljoprivredu provedeni su pozivni natječaji i potpomognuti su poljoprivrednici i obrtnici s područja Međimurske županije u iznosu od </w:t>
      </w:r>
      <w:r w:rsidR="00C60F7E">
        <w:t>302.366,42</w:t>
      </w:r>
      <w:r w:rsidR="00CF3CAC">
        <w:t xml:space="preserve"> eura, a izvršena su i plaćanja u Projekt navodnjavanja </w:t>
      </w:r>
      <w:proofErr w:type="spellStart"/>
      <w:r w:rsidR="00CF3CAC">
        <w:t>Belica</w:t>
      </w:r>
      <w:proofErr w:type="spellEnd"/>
      <w:r w:rsidR="00C60F7E">
        <w:t xml:space="preserve"> kao i uplata za obranu od tuče.</w:t>
      </w:r>
    </w:p>
    <w:p w14:paraId="36B3C15E" w14:textId="6151A084" w:rsidR="002E3ACC" w:rsidRDefault="002E3ACC" w:rsidP="00D443A6">
      <w:pPr>
        <w:jc w:val="both"/>
      </w:pPr>
      <w:r>
        <w:t>Unutar Odsjeka za turizam najznačajniji rashod predstavlja</w:t>
      </w:r>
      <w:r w:rsidR="003C5376">
        <w:t xml:space="preserve"> isplata </w:t>
      </w:r>
      <w:r w:rsidR="00CF3CAC">
        <w:t>Turističkoj zajednici Međimurske županije, te Centru dr. Rudolf Steiner, dok su</w:t>
      </w:r>
      <w:r w:rsidR="003C5376">
        <w:t xml:space="preserve"> </w:t>
      </w:r>
      <w:r w:rsidR="00CF3CAC">
        <w:t>se t</w:t>
      </w:r>
      <w:r>
        <w:t xml:space="preserve">uristički projekti sufinancirali unutar pozivnih natječaja </w:t>
      </w:r>
      <w:r w:rsidR="00CF3CAC">
        <w:t xml:space="preserve">u iznosu od </w:t>
      </w:r>
      <w:r w:rsidR="00C60F7E">
        <w:t>57.725,00</w:t>
      </w:r>
      <w:r w:rsidR="00CF3CAC">
        <w:t xml:space="preserve"> eura.</w:t>
      </w:r>
      <w:r w:rsidR="00C60F7E">
        <w:t xml:space="preserve"> Započela je i revitalizacija Kaštela </w:t>
      </w:r>
      <w:proofErr w:type="spellStart"/>
      <w:r w:rsidR="00C60F7E">
        <w:t>Feštetić</w:t>
      </w:r>
      <w:proofErr w:type="spellEnd"/>
      <w:r w:rsidR="00C60F7E">
        <w:t xml:space="preserve"> u Pribislavcu u </w:t>
      </w:r>
      <w:r w:rsidR="00754998">
        <w:t>što</w:t>
      </w:r>
      <w:r w:rsidR="00C60F7E">
        <w:t xml:space="preserve"> je 2024. godine utrošeno 74.495,23 eura</w:t>
      </w:r>
      <w:r w:rsidR="00BD7F9D">
        <w:t xml:space="preserve"> te je većim dijelom završena Izgradnja parkirališta Muzeja Međimurja u iznosu od 155.010,11 eura.</w:t>
      </w:r>
    </w:p>
    <w:p w14:paraId="290E05A5" w14:textId="77777777" w:rsidR="00C804EF" w:rsidRDefault="00C804EF" w:rsidP="00D443A6">
      <w:pPr>
        <w:jc w:val="both"/>
      </w:pPr>
    </w:p>
    <w:p w14:paraId="108988E1" w14:textId="77777777" w:rsidR="00213DF8" w:rsidRDefault="00213DF8">
      <w:pPr>
        <w:spacing w:after="160" w:line="259" w:lineRule="auto"/>
      </w:pPr>
      <w:r>
        <w:br w:type="page"/>
      </w:r>
    </w:p>
    <w:p w14:paraId="54327C74" w14:textId="7E1BEE15" w:rsidR="0099591F" w:rsidRDefault="00C804EF" w:rsidP="00D443A6">
      <w:pPr>
        <w:jc w:val="both"/>
      </w:pPr>
      <w:r>
        <w:lastRenderedPageBreak/>
        <w:t xml:space="preserve">RAZDJEL </w:t>
      </w:r>
      <w:r w:rsidR="00CF3CAC">
        <w:t>500</w:t>
      </w:r>
      <w:r w:rsidR="00747769">
        <w:t xml:space="preserve"> – Upravni odjel za obrazovanje</w:t>
      </w:r>
      <w:r w:rsidR="00635A48">
        <w:t>,</w:t>
      </w:r>
      <w:r w:rsidR="00747769">
        <w:t xml:space="preserve"> kulturu</w:t>
      </w:r>
      <w:r w:rsidR="00635A48">
        <w:t xml:space="preserve"> i sport</w:t>
      </w:r>
      <w:r w:rsidR="00747769">
        <w:t xml:space="preserve"> – nema značajni</w:t>
      </w:r>
      <w:r w:rsidR="002E3ACC">
        <w:t>jih odstupanja u odnosu na plan</w:t>
      </w:r>
      <w:r w:rsidR="00CB6F63">
        <w:t xml:space="preserve"> – </w:t>
      </w:r>
      <w:r w:rsidR="00635A48">
        <w:t xml:space="preserve">izvršenje </w:t>
      </w:r>
      <w:r w:rsidR="00CB6F63">
        <w:t>98,</w:t>
      </w:r>
      <w:r w:rsidR="00BD7F9D">
        <w:t>39</w:t>
      </w:r>
      <w:r w:rsidR="00CB6F63">
        <w:t>%</w:t>
      </w:r>
      <w:r w:rsidR="002E3ACC">
        <w:t>, a neznatno odstupanje od plana odnosi se na proračunske korisnike i to osnovne i sredn</w:t>
      </w:r>
      <w:r>
        <w:t>je škole u Međimurskoj županiji te Muzeja Međimurje</w:t>
      </w:r>
      <w:r w:rsidR="0099591F">
        <w:t xml:space="preserve"> unutar njihovih rashoda financiranih iz ostalih i vlastitih izvora prihoda.</w:t>
      </w:r>
    </w:p>
    <w:p w14:paraId="6AE970AB" w14:textId="5A371F82" w:rsidR="001406AD" w:rsidRDefault="002E3ACC" w:rsidP="00D443A6">
      <w:pPr>
        <w:jc w:val="both"/>
      </w:pPr>
      <w:r>
        <w:t xml:space="preserve">Jedan dio rashoda navedenih proračunskih korisnika pokriva se iz decentraliziranih sredstava za Decentralizirane funkcije za osnovne škole – materijalni izdaci </w:t>
      </w:r>
      <w:r w:rsidR="0099591F">
        <w:t>2</w:t>
      </w:r>
      <w:r w:rsidR="00BD7F9D">
        <w:t>.282.235,50</w:t>
      </w:r>
      <w:r w:rsidR="0099591F">
        <w:t xml:space="preserve"> eura (izvršenje 99,9</w:t>
      </w:r>
      <w:r w:rsidR="00BD7F9D">
        <w:t>9</w:t>
      </w:r>
      <w:r w:rsidR="0099591F">
        <w:t>%)</w:t>
      </w:r>
      <w:r w:rsidR="000D3F2B">
        <w:t>,</w:t>
      </w:r>
      <w:r w:rsidR="00A25448">
        <w:t xml:space="preserve">  kapitalni izdaci </w:t>
      </w:r>
      <w:r w:rsidR="0099591F">
        <w:t>–</w:t>
      </w:r>
      <w:r w:rsidR="00A25448">
        <w:t xml:space="preserve"> </w:t>
      </w:r>
      <w:r w:rsidR="0099591F">
        <w:t>4</w:t>
      </w:r>
      <w:r w:rsidR="002D4FF9">
        <w:t>26.077,38</w:t>
      </w:r>
      <w:r w:rsidR="0099591F">
        <w:t xml:space="preserve"> eura (izvršenje 9</w:t>
      </w:r>
      <w:r w:rsidR="002D4FF9">
        <w:t>6</w:t>
      </w:r>
      <w:r w:rsidR="0099591F">
        <w:t>,</w:t>
      </w:r>
      <w:r w:rsidR="002D4FF9">
        <w:t>02</w:t>
      </w:r>
      <w:r w:rsidR="0099591F">
        <w:t>%)</w:t>
      </w:r>
      <w:r w:rsidR="00A25448">
        <w:t>.</w:t>
      </w:r>
      <w:r w:rsidR="000D3F2B">
        <w:t xml:space="preserve"> </w:t>
      </w:r>
    </w:p>
    <w:p w14:paraId="3F8C9B34" w14:textId="70F48011" w:rsidR="0099591F" w:rsidRDefault="000D3F2B" w:rsidP="00D443A6">
      <w:pPr>
        <w:jc w:val="both"/>
      </w:pPr>
      <w:r>
        <w:t>Decentralizirane funkcije za srednje</w:t>
      </w:r>
      <w:r w:rsidR="001406AD">
        <w:t xml:space="preserve"> </w:t>
      </w:r>
      <w:r>
        <w:t xml:space="preserve">škole – materijalni izdaci </w:t>
      </w:r>
      <w:r w:rsidR="0099591F">
        <w:t>1.</w:t>
      </w:r>
      <w:r w:rsidR="00BD7F9D">
        <w:t>194.959,07</w:t>
      </w:r>
      <w:r w:rsidR="0099591F">
        <w:t xml:space="preserve"> eura (izvršenje </w:t>
      </w:r>
      <w:r w:rsidR="00BD7F9D">
        <w:t>100</w:t>
      </w:r>
      <w:r w:rsidR="0099591F">
        <w:t>%)</w:t>
      </w:r>
      <w:r>
        <w:t xml:space="preserve">, kapitalni izdaci </w:t>
      </w:r>
      <w:r w:rsidR="0099591F">
        <w:t>20</w:t>
      </w:r>
      <w:r w:rsidR="002D4FF9">
        <w:t>6</w:t>
      </w:r>
      <w:r w:rsidR="0099591F">
        <w:t>.</w:t>
      </w:r>
      <w:r w:rsidR="002D4FF9">
        <w:t>485</w:t>
      </w:r>
      <w:r w:rsidR="0099591F">
        <w:t>,</w:t>
      </w:r>
      <w:r w:rsidR="002D4FF9">
        <w:t>00</w:t>
      </w:r>
      <w:r w:rsidR="0099591F">
        <w:t xml:space="preserve"> eura (izvršenje </w:t>
      </w:r>
      <w:r w:rsidR="002D4FF9">
        <w:t>100</w:t>
      </w:r>
      <w:r w:rsidR="0099591F">
        <w:t>%).</w:t>
      </w:r>
    </w:p>
    <w:p w14:paraId="0DC7AF19" w14:textId="77777777" w:rsidR="0099591F" w:rsidRDefault="0099591F" w:rsidP="00D443A6">
      <w:pPr>
        <w:jc w:val="both"/>
      </w:pPr>
      <w:r>
        <w:t xml:space="preserve">Sredstva za decentralizirane funkcije osigurana su u državnom proračunu putem potpora izravnanja i tekućeg priljeva uplaćenih prihoda poreza na dohodak. Državni proračun pokriva i rashode za prijevoz učenika osnovnih i srednjih škola. </w:t>
      </w:r>
    </w:p>
    <w:p w14:paraId="21FA5702" w14:textId="52394AF3" w:rsidR="002D4FF9" w:rsidRDefault="002D4FF9" w:rsidP="00D443A6">
      <w:pPr>
        <w:jc w:val="both"/>
      </w:pPr>
      <w:r>
        <w:t>Budući da sredstva za decentralizirane funkcije nisu dostatne za pokriće materijalnih troškova škola, Međimurska županija je dodatno podmirivala rashode za osnovne škole (iznad standarda u osnovnim školama – 90.636,09 eura).</w:t>
      </w:r>
    </w:p>
    <w:p w14:paraId="18944217" w14:textId="12101378" w:rsidR="00747769" w:rsidRDefault="000D3F2B" w:rsidP="00D443A6">
      <w:pPr>
        <w:jc w:val="both"/>
      </w:pPr>
      <w:r>
        <w:t>Drugi dio rashoda proračunskih korisnika nalazi se unutar svakog korisnika iz vlastiti</w:t>
      </w:r>
      <w:r w:rsidR="000334FD">
        <w:t>h i ostalih izvora financiranja i predstavlja evidencijsku stavku konsolidiranog proračuna.</w:t>
      </w:r>
    </w:p>
    <w:p w14:paraId="0AB82A79" w14:textId="73B6E940" w:rsidR="000D3F2B" w:rsidRDefault="000D3F2B" w:rsidP="00D443A6">
      <w:pPr>
        <w:jc w:val="both"/>
      </w:pPr>
      <w:r>
        <w:t>Neznatna povećanja rashoda škola vidljiva su kod povećanih rashoda za plaću kao i ostalih rashoda za zaposlene</w:t>
      </w:r>
      <w:r w:rsidR="008F22B8">
        <w:t>, a isti su financirani iz vlastitih i ostalih izvora financiranja.</w:t>
      </w:r>
    </w:p>
    <w:p w14:paraId="6F20B3AF" w14:textId="549A208E" w:rsidR="002D4FF9" w:rsidRDefault="000D3F2B" w:rsidP="00D443A6">
      <w:pPr>
        <w:jc w:val="both"/>
      </w:pPr>
      <w:r>
        <w:t>Međimurska županija dodatno brine o obrazovanju te se unutar navedenog raz</w:t>
      </w:r>
      <w:r w:rsidR="000334FD">
        <w:t>djela</w:t>
      </w:r>
      <w:r>
        <w:t xml:space="preserve"> pokrivaju pomoći studentima koje su isplaćene u visini </w:t>
      </w:r>
      <w:r w:rsidR="002D4FF9">
        <w:t>188.600,00</w:t>
      </w:r>
      <w:r w:rsidR="00FD7DD3">
        <w:t xml:space="preserve"> eura</w:t>
      </w:r>
      <w:r w:rsidR="008F22B8">
        <w:t>, odnosno 100 eura</w:t>
      </w:r>
      <w:r w:rsidR="0053228E">
        <w:t xml:space="preserve"> novčane</w:t>
      </w:r>
      <w:r w:rsidR="008F22B8">
        <w:t xml:space="preserve"> </w:t>
      </w:r>
      <w:r w:rsidR="00152D77">
        <w:t xml:space="preserve">naknade </w:t>
      </w:r>
      <w:r w:rsidR="008F22B8">
        <w:t>po studentu</w:t>
      </w:r>
      <w:r w:rsidR="00152D77">
        <w:t xml:space="preserve"> (za 1</w:t>
      </w:r>
      <w:r w:rsidR="002D4FF9">
        <w:t>886</w:t>
      </w:r>
      <w:r w:rsidR="00152D77">
        <w:t xml:space="preserve"> studenata) </w:t>
      </w:r>
      <w:r w:rsidR="0053228E">
        <w:t>i 3</w:t>
      </w:r>
      <w:r w:rsidR="002D4FF9">
        <w:t>9.745,86</w:t>
      </w:r>
      <w:r w:rsidR="0053228E">
        <w:t xml:space="preserve"> eura za potporu u naravi</w:t>
      </w:r>
      <w:r w:rsidR="00CB2A5F">
        <w:t>, učeničke stipendije za djecu hrvatskih branitelja isplaćen</w:t>
      </w:r>
      <w:r w:rsidR="008F22B8">
        <w:t>e</w:t>
      </w:r>
      <w:r w:rsidR="00CB2A5F">
        <w:t xml:space="preserve"> su u visini </w:t>
      </w:r>
      <w:r w:rsidR="002D4FF9">
        <w:t>9.556,08</w:t>
      </w:r>
      <w:r w:rsidR="00FD7DD3">
        <w:t xml:space="preserve"> eura</w:t>
      </w:r>
      <w:r w:rsidR="00CB2A5F">
        <w:t>, a također se potiču i daroviti učenici za daljnji rad i razvoj putem centara izvrsnosti.</w:t>
      </w:r>
      <w:r w:rsidR="00FD7DD3">
        <w:t xml:space="preserve"> Asistenti u nastavi</w:t>
      </w:r>
      <w:r w:rsidR="008F22B8">
        <w:t xml:space="preserve"> su se osim kroz projekt „Škole jednakih mogućnosti“, </w:t>
      </w:r>
      <w:r w:rsidR="00FD7DD3">
        <w:t xml:space="preserve">dodatno financirali i iz Međimurske županije u visini od </w:t>
      </w:r>
      <w:r w:rsidR="002D4FF9">
        <w:t>44.019,77</w:t>
      </w:r>
      <w:r w:rsidR="00FD7DD3">
        <w:t xml:space="preserve"> eura, dok je uvođenje građanskog </w:t>
      </w:r>
      <w:r w:rsidR="00CB2A5F">
        <w:t xml:space="preserve"> </w:t>
      </w:r>
      <w:r w:rsidR="00FD7DD3">
        <w:t>odgoja u osnovnim školama iznosilo 1</w:t>
      </w:r>
      <w:r w:rsidR="002D4FF9">
        <w:t>5.456,11</w:t>
      </w:r>
      <w:r w:rsidR="00FD7DD3">
        <w:t xml:space="preserve"> eura. </w:t>
      </w:r>
    </w:p>
    <w:p w14:paraId="1B9C47F2" w14:textId="44607E23" w:rsidR="00FD7DD3" w:rsidRDefault="00FD7DD3" w:rsidP="00D443A6">
      <w:pPr>
        <w:jc w:val="both"/>
      </w:pPr>
      <w:r>
        <w:t>Srednjoškolcima se tijekom 202</w:t>
      </w:r>
      <w:r w:rsidR="002D4FF9">
        <w:t>4</w:t>
      </w:r>
      <w:r>
        <w:t>. godine sufinancirao prijevoz učenika iz državnog proračuna u visini od 75%, dok se iz izvora Međimurske županije sufinancira iznos od 25%</w:t>
      </w:r>
      <w:r w:rsidR="00AC5866">
        <w:t>.</w:t>
      </w:r>
    </w:p>
    <w:p w14:paraId="4BBED92F" w14:textId="43A06AD3" w:rsidR="00FD7DD3" w:rsidRDefault="00DD3DE7" w:rsidP="00D443A6">
      <w:pPr>
        <w:jc w:val="both"/>
      </w:pPr>
      <w:r>
        <w:t>P</w:t>
      </w:r>
      <w:r w:rsidR="008F22B8">
        <w:t>otpora</w:t>
      </w:r>
      <w:r>
        <w:t xml:space="preserve"> učenicima u nabavi radnog materijala za srednje škole isplaćena je u 202</w:t>
      </w:r>
      <w:r w:rsidR="00AC5866">
        <w:t>4</w:t>
      </w:r>
      <w:r>
        <w:t xml:space="preserve">. godini u iznosu od </w:t>
      </w:r>
      <w:r w:rsidR="00AC5866">
        <w:t>194.850,00</w:t>
      </w:r>
      <w:r>
        <w:t xml:space="preserve"> eura, odnosno </w:t>
      </w:r>
      <w:r w:rsidR="008F22B8">
        <w:t>50 eura po srednjoškolcu.</w:t>
      </w:r>
    </w:p>
    <w:p w14:paraId="7026C1BC" w14:textId="31203F99" w:rsidR="008F22B8" w:rsidRDefault="008F22B8" w:rsidP="00D443A6">
      <w:pPr>
        <w:jc w:val="both"/>
      </w:pPr>
      <w:r>
        <w:t>Unutar Odsjeka za sport financira se rad Zajednice sportskih udruga i saveza Međimurske županije koja je tijekom 202</w:t>
      </w:r>
      <w:r w:rsidR="002E6068">
        <w:t>4</w:t>
      </w:r>
      <w:r>
        <w:t xml:space="preserve">. godine primila sredstva u iznosu od </w:t>
      </w:r>
      <w:r w:rsidR="002E6068">
        <w:t>600.000,00</w:t>
      </w:r>
      <w:r>
        <w:t xml:space="preserve"> eura za Programe Zajednice</w:t>
      </w:r>
      <w:r w:rsidR="002E6068">
        <w:t xml:space="preserve">. </w:t>
      </w:r>
      <w:r w:rsidR="00BA7E27">
        <w:t xml:space="preserve">Međimurski školski sportski savez primio je sredstva u visini od </w:t>
      </w:r>
      <w:r w:rsidR="002E6068">
        <w:t>80.000,00</w:t>
      </w:r>
      <w:r w:rsidR="00BA7E27">
        <w:t xml:space="preserve"> eura, a najveći dio se odnosi na provođenje škole plivanja. Projekt SESE financiran je sredstvima EU, a rashodi po istome iznose </w:t>
      </w:r>
      <w:r w:rsidR="002E6068">
        <w:t>28.992,14</w:t>
      </w:r>
      <w:r w:rsidR="00BA7E27">
        <w:t xml:space="preserve"> eura.</w:t>
      </w:r>
    </w:p>
    <w:p w14:paraId="61B0F5FC" w14:textId="76627D7C" w:rsidR="00CB2A5F" w:rsidRDefault="00CB2A5F" w:rsidP="00D443A6">
      <w:pPr>
        <w:jc w:val="both"/>
      </w:pPr>
      <w:r>
        <w:t xml:space="preserve">Unutar programa Kultura financirani su rashodi za Bibliobusnu službu Knjižnice Nikola Zrinski Čakovec, Zajednicu hrvatskih kulturno-umjetničkih udruga, </w:t>
      </w:r>
      <w:r w:rsidR="00733C22">
        <w:t>Ogranak M</w:t>
      </w:r>
      <w:r>
        <w:t>atice hrvatske</w:t>
      </w:r>
      <w:r w:rsidR="00C804EF">
        <w:t>, Zajednicu tehničke kulture</w:t>
      </w:r>
      <w:r>
        <w:t>.</w:t>
      </w:r>
      <w:r w:rsidR="00C804EF">
        <w:t xml:space="preserve"> </w:t>
      </w:r>
      <w:r>
        <w:t xml:space="preserve">Za programe u kulturi isplaćeno je </w:t>
      </w:r>
      <w:r w:rsidR="002E6068">
        <w:t>38.940,00</w:t>
      </w:r>
      <w:r w:rsidR="00BA7E27">
        <w:t xml:space="preserve"> eura</w:t>
      </w:r>
      <w:r>
        <w:t xml:space="preserve"> prema raspisanom pozivnom natječaju.</w:t>
      </w:r>
      <w:r w:rsidR="00C804EF">
        <w:t xml:space="preserve"> </w:t>
      </w:r>
    </w:p>
    <w:p w14:paraId="2D97A319" w14:textId="24C4A01D" w:rsidR="00D36A6C" w:rsidRDefault="002E6068" w:rsidP="00D443A6">
      <w:pPr>
        <w:jc w:val="both"/>
      </w:pPr>
      <w:r>
        <w:t>Muzej Međimurja kao proračunski korisnik Međimurske županije sastavni je dio Odsjeka za kulturu i sudjeluje u rashodima proračuna Međimurske županije u sveukupnom iznosu od 937.931,84 eura.</w:t>
      </w:r>
    </w:p>
    <w:p w14:paraId="6536EAD5" w14:textId="77777777" w:rsidR="002E6068" w:rsidRDefault="002E6068" w:rsidP="00D443A6">
      <w:pPr>
        <w:jc w:val="both"/>
      </w:pPr>
    </w:p>
    <w:p w14:paraId="2558B9B9" w14:textId="01658CB2" w:rsidR="00B6659C" w:rsidRDefault="00C804EF" w:rsidP="00D443A6">
      <w:pPr>
        <w:jc w:val="both"/>
      </w:pPr>
      <w:r>
        <w:t xml:space="preserve">RAZDJEL </w:t>
      </w:r>
      <w:r w:rsidR="00635A48">
        <w:t>600</w:t>
      </w:r>
      <w:r w:rsidR="00B6659C">
        <w:t xml:space="preserve"> – Upravni odjel za zdravstvo i socijalnu skrb – </w:t>
      </w:r>
      <w:r>
        <w:t xml:space="preserve">izvršenje </w:t>
      </w:r>
      <w:r w:rsidR="00635A48">
        <w:t>9</w:t>
      </w:r>
      <w:r w:rsidR="00BA19A0">
        <w:t>8</w:t>
      </w:r>
      <w:r w:rsidR="00635A48">
        <w:t>,</w:t>
      </w:r>
      <w:r w:rsidR="00BA19A0">
        <w:t>09</w:t>
      </w:r>
      <w:r>
        <w:t xml:space="preserve">%, unutar razdjela nalaze se </w:t>
      </w:r>
      <w:r w:rsidR="006041AD">
        <w:t xml:space="preserve">i rashodi </w:t>
      </w:r>
      <w:r>
        <w:t>proračunski</w:t>
      </w:r>
      <w:r w:rsidR="006041AD">
        <w:t>h</w:t>
      </w:r>
      <w:r>
        <w:t xml:space="preserve"> korisnika: Zavod za javno zdravstvo, Zavod za hitnu medicinu, Dom zdravlja i Dom za starije i nemoćne osobe Čakovec. Dio </w:t>
      </w:r>
      <w:r w:rsidR="0053228E">
        <w:t xml:space="preserve">njihovih </w:t>
      </w:r>
      <w:r>
        <w:t>rashoda pokriva se iz decentraliziranih sredstava primljenih od strane Državnog proračuna kao tekući priljev od poreza i potpora izravnanja dok je drugi dio prikazan unutar svakog proračunskog korisni</w:t>
      </w:r>
      <w:r w:rsidR="006041AD">
        <w:t>ka kao vlastiti i ostali prihod i evidencijski se prikazuje u konsolidiranom proračunu.</w:t>
      </w:r>
      <w:r>
        <w:t xml:space="preserve"> Za decentralizirane funkcije u zdravstvu u prethodnom je razdoblju utrošeno </w:t>
      </w:r>
      <w:r w:rsidR="00BA19A0">
        <w:t>1.141.026,71</w:t>
      </w:r>
      <w:r w:rsidR="00635A48">
        <w:t xml:space="preserve"> eura</w:t>
      </w:r>
      <w:r>
        <w:t xml:space="preserve"> i u skladu je s</w:t>
      </w:r>
      <w:r w:rsidR="0053228E">
        <w:t xml:space="preserve"> </w:t>
      </w:r>
      <w:r>
        <w:t>odobrenim planom</w:t>
      </w:r>
      <w:r w:rsidR="00BA19A0">
        <w:t xml:space="preserve"> (99,18%)</w:t>
      </w:r>
      <w:r>
        <w:t xml:space="preserve">. Međimurska županija iz vlastitih sredstava sufinancira pratnju djece na liječenju u Županijskoj bolnici u Čakovcu, </w:t>
      </w:r>
      <w:r w:rsidR="001E3768">
        <w:t xml:space="preserve">rad stomatologa </w:t>
      </w:r>
      <w:r w:rsidR="00BA19A0">
        <w:t xml:space="preserve"> i liječnika opće prakse </w:t>
      </w:r>
      <w:r w:rsidR="001E3768">
        <w:t xml:space="preserve">za vrijeme dežurstava, </w:t>
      </w:r>
      <w:r w:rsidR="001E3768">
        <w:lastRenderedPageBreak/>
        <w:t xml:space="preserve">pokriva rashode nastale za </w:t>
      </w:r>
      <w:proofErr w:type="spellStart"/>
      <w:r w:rsidR="001E3768">
        <w:t>mrtvozorstvo</w:t>
      </w:r>
      <w:proofErr w:type="spellEnd"/>
      <w:r w:rsidR="001E3768">
        <w:t>, brine o zdravom vodoopskrbnom sustavu i zaštiti od komaraca</w:t>
      </w:r>
      <w:r w:rsidR="00BA19A0">
        <w:t xml:space="preserve"> te o palijativi.</w:t>
      </w:r>
    </w:p>
    <w:p w14:paraId="57D9B2C4" w14:textId="6C802079" w:rsidR="0083499A" w:rsidRDefault="001E3768" w:rsidP="00D443A6">
      <w:pPr>
        <w:jc w:val="both"/>
      </w:pPr>
      <w:r>
        <w:t>Unutar socijalne zaštite nalaze se i rashodi proračunskog korisnika Sigurna kuća</w:t>
      </w:r>
      <w:r w:rsidR="00633228">
        <w:t xml:space="preserve"> (</w:t>
      </w:r>
      <w:r w:rsidR="00BA19A0">
        <w:t>104.400,15</w:t>
      </w:r>
      <w:r w:rsidR="00633228">
        <w:t xml:space="preserve"> eura)</w:t>
      </w:r>
      <w:r>
        <w:t xml:space="preserve"> te Dom za starije i nemoćne osobe Čakovec. Iz decentraliziranih funkcija pokriveni su rashodi za Dom za starije i nemoćne osobe Čakovec</w:t>
      </w:r>
      <w:r w:rsidR="0083499A">
        <w:t xml:space="preserve"> u visini od </w:t>
      </w:r>
      <w:r w:rsidR="00BA19A0">
        <w:t>726.808,56</w:t>
      </w:r>
      <w:r w:rsidR="00635A48">
        <w:t xml:space="preserve"> eura</w:t>
      </w:r>
      <w:r w:rsidR="0083499A">
        <w:t xml:space="preserve"> za materijalne rashode i </w:t>
      </w:r>
      <w:r w:rsidR="00BA19A0">
        <w:t>47.061,44</w:t>
      </w:r>
      <w:r w:rsidR="00633228">
        <w:t xml:space="preserve"> eura</w:t>
      </w:r>
      <w:r w:rsidR="0083499A">
        <w:t xml:space="preserve"> za kapitalna ulaganja</w:t>
      </w:r>
      <w:r>
        <w:t>.</w:t>
      </w:r>
      <w:r w:rsidR="00633228">
        <w:t xml:space="preserve"> Dodatno se iz sredstava županije pokrivaju i rashodi za rad Dnevnog centra za starije i nemoćne osobe što je u 202</w:t>
      </w:r>
      <w:r w:rsidR="00BA19A0">
        <w:t>4</w:t>
      </w:r>
      <w:r w:rsidR="00633228">
        <w:t>. godini iznosilo 17.254,00 eura</w:t>
      </w:r>
      <w:r w:rsidR="00BA19A0">
        <w:t xml:space="preserve"> kao i rashodi novog odjela fizikalne terapije unutar Doma (rashodi u 2024. godini iznose 9.875,30 eura)</w:t>
      </w:r>
      <w:r w:rsidR="00633228">
        <w:t>.</w:t>
      </w:r>
    </w:p>
    <w:p w14:paraId="5398BEC2" w14:textId="4789BF8C" w:rsidR="001E3768" w:rsidRDefault="0087517E" w:rsidP="00D443A6">
      <w:pPr>
        <w:jc w:val="both"/>
      </w:pPr>
      <w:r>
        <w:t>Tijekom 202</w:t>
      </w:r>
      <w:r w:rsidR="00BA19A0">
        <w:t>4</w:t>
      </w:r>
      <w:r>
        <w:t>. godine financira</w:t>
      </w:r>
      <w:r w:rsidR="008C116C">
        <w:t>la se</w:t>
      </w:r>
      <w:r>
        <w:t xml:space="preserve"> redovn</w:t>
      </w:r>
      <w:r w:rsidR="008C116C">
        <w:t>a</w:t>
      </w:r>
      <w:r>
        <w:t xml:space="preserve"> djelatnost</w:t>
      </w:r>
      <w:r w:rsidR="008C116C">
        <w:t xml:space="preserve"> centra </w:t>
      </w:r>
      <w:r>
        <w:t xml:space="preserve">za ranu intervenciju u djetinjstvu </w:t>
      </w:r>
      <w:proofErr w:type="spellStart"/>
      <w:r>
        <w:t>Murid</w:t>
      </w:r>
      <w:proofErr w:type="spellEnd"/>
      <w:r w:rsidR="00633228">
        <w:t xml:space="preserve"> (</w:t>
      </w:r>
      <w:r w:rsidR="008C116C">
        <w:t xml:space="preserve">47.000,00 </w:t>
      </w:r>
      <w:r w:rsidR="00633228">
        <w:t>eura), t</w:t>
      </w:r>
      <w:r w:rsidR="001E3768">
        <w:t>akođer se sufinancira rad Centra za pomoć u kući Međimurske županije, Dom za odrasle Orehovica, potiče se suzbijanje zlouporabe opojnih droga,</w:t>
      </w:r>
      <w:r>
        <w:t xml:space="preserve"> sufinancira se Centar </w:t>
      </w:r>
      <w:proofErr w:type="spellStart"/>
      <w:r>
        <w:t>PrinOS</w:t>
      </w:r>
      <w:proofErr w:type="spellEnd"/>
      <w:r>
        <w:t xml:space="preserve">, Centar za osobe s invaliditetom DOSTI, dok se umirovljenicima </w:t>
      </w:r>
      <w:r w:rsidR="00125D51">
        <w:t xml:space="preserve">unutar jednokratnih potpora umirovljenicima </w:t>
      </w:r>
      <w:r>
        <w:t xml:space="preserve">osigurava besplatan </w:t>
      </w:r>
      <w:r w:rsidR="00125D51">
        <w:t xml:space="preserve">autobusni </w:t>
      </w:r>
      <w:r>
        <w:t>prijevoz na području Međimurske županije</w:t>
      </w:r>
      <w:r w:rsidR="00633228">
        <w:t xml:space="preserve"> te isti u 202</w:t>
      </w:r>
      <w:r w:rsidR="008C116C">
        <w:t>4</w:t>
      </w:r>
      <w:r w:rsidR="00633228">
        <w:t xml:space="preserve">. godini doseže iznos od </w:t>
      </w:r>
      <w:r w:rsidR="008C116C">
        <w:t>219.166,34</w:t>
      </w:r>
      <w:r w:rsidR="00633228">
        <w:t xml:space="preserve"> eura</w:t>
      </w:r>
      <w:r>
        <w:t>.</w:t>
      </w:r>
      <w:r w:rsidR="001E3768">
        <w:t xml:space="preserve"> </w:t>
      </w:r>
      <w:r w:rsidR="008C116C">
        <w:t xml:space="preserve"> Značajna potpora umirovljenicima Međimurske županije tijekom 2024. godine pružena je kroz sufinanciranje cijene boravka umirovljenika u domovima za starije i nemoćne osobe (iznos pomoći 100.000,00 eura).</w:t>
      </w:r>
    </w:p>
    <w:p w14:paraId="25DB056D" w14:textId="77777777" w:rsidR="00877AB1" w:rsidRDefault="00877AB1" w:rsidP="00D443A6">
      <w:pPr>
        <w:jc w:val="both"/>
      </w:pPr>
    </w:p>
    <w:p w14:paraId="5E6BDE1E" w14:textId="124166AD" w:rsidR="00861D4D" w:rsidRDefault="00FD0ADB" w:rsidP="00D443A6">
      <w:pPr>
        <w:jc w:val="both"/>
      </w:pPr>
      <w:r>
        <w:t xml:space="preserve">RAZDJEL </w:t>
      </w:r>
      <w:r w:rsidR="00633228">
        <w:t>700</w:t>
      </w:r>
      <w:r w:rsidR="00B6659C">
        <w:t xml:space="preserve"> </w:t>
      </w:r>
      <w:r w:rsidR="00861D4D">
        <w:t>– Upravni odjel za civilno društvo</w:t>
      </w:r>
      <w:r w:rsidR="00633228">
        <w:t xml:space="preserve"> i </w:t>
      </w:r>
      <w:r w:rsidR="00861D4D">
        <w:t xml:space="preserve">ljudska prava – </w:t>
      </w:r>
      <w:r w:rsidR="00BE2193">
        <w:t>izvršenje od 9</w:t>
      </w:r>
      <w:r w:rsidR="008B587C">
        <w:t>3</w:t>
      </w:r>
      <w:r w:rsidR="00125D51">
        <w:t>,</w:t>
      </w:r>
      <w:r w:rsidR="008B587C">
        <w:t>65</w:t>
      </w:r>
      <w:r w:rsidR="00633228">
        <w:t xml:space="preserve">%. </w:t>
      </w:r>
    </w:p>
    <w:p w14:paraId="24584E43" w14:textId="77777777" w:rsidR="00173E7F" w:rsidRDefault="0093725E" w:rsidP="00D443A6">
      <w:pPr>
        <w:jc w:val="both"/>
      </w:pPr>
      <w:r>
        <w:t xml:space="preserve">Unutar </w:t>
      </w:r>
      <w:r w:rsidR="00633228">
        <w:t xml:space="preserve">zdravstvenih i </w:t>
      </w:r>
      <w:r>
        <w:t xml:space="preserve">socijalnih aktivnosti navedenog razdoblja vidljivi su rashodi za </w:t>
      </w:r>
      <w:r w:rsidR="00633228">
        <w:t>udruge: za zaštitu životinja, u</w:t>
      </w:r>
      <w:r>
        <w:t>druge</w:t>
      </w:r>
      <w:r w:rsidR="00633228">
        <w:t xml:space="preserve"> civilnog društva,</w:t>
      </w:r>
      <w:r>
        <w:t xml:space="preserve"> branitelja, osoba s invaliditetom, </w:t>
      </w:r>
      <w:r w:rsidR="00633228">
        <w:t xml:space="preserve">udruge </w:t>
      </w:r>
      <w:r w:rsidR="00173E7F">
        <w:t xml:space="preserve">potrošača, udruge </w:t>
      </w:r>
      <w:r>
        <w:t>umirovljenika</w:t>
      </w:r>
      <w:r w:rsidR="00173E7F">
        <w:t>, a sredstva su im odobrena putem</w:t>
      </w:r>
      <w:r>
        <w:t xml:space="preserve"> pozivnih programa</w:t>
      </w:r>
      <w:r w:rsidR="00173E7F">
        <w:t>.</w:t>
      </w:r>
    </w:p>
    <w:p w14:paraId="6E8A22E3" w14:textId="6ABF26D8" w:rsidR="0093725E" w:rsidRDefault="0093725E" w:rsidP="00D443A6">
      <w:pPr>
        <w:jc w:val="both"/>
      </w:pPr>
      <w:r>
        <w:t>Rashodi za troškove ukopa branitelja vezani su uz isplatu troškova koje pokriva Ministarstvo hrvatskih branitelja i ratnih vojnih invalida.</w:t>
      </w:r>
    </w:p>
    <w:p w14:paraId="446940FF" w14:textId="0BF39DE2" w:rsidR="001F01A2" w:rsidRDefault="001F01A2" w:rsidP="00D443A6">
      <w:pPr>
        <w:jc w:val="both"/>
      </w:pPr>
      <w:r>
        <w:t xml:space="preserve">Za asistente u vrtićima izdvojeno je </w:t>
      </w:r>
      <w:r w:rsidR="00173E7F">
        <w:t>1</w:t>
      </w:r>
      <w:r w:rsidR="008B587C">
        <w:t>81.335,10</w:t>
      </w:r>
      <w:r w:rsidR="00173E7F">
        <w:t xml:space="preserve"> eura </w:t>
      </w:r>
      <w:r>
        <w:t>putem isplata Savezu udruga Prvi korak</w:t>
      </w:r>
      <w:r w:rsidR="00173E7F">
        <w:t>, dok su se nacionalne manjine financirale u iznosu od 1</w:t>
      </w:r>
      <w:r w:rsidR="008B587C">
        <w:t>5.481,80</w:t>
      </w:r>
      <w:r w:rsidR="00173E7F">
        <w:t xml:space="preserve"> eura. </w:t>
      </w:r>
    </w:p>
    <w:p w14:paraId="065ABA3C" w14:textId="484E837A" w:rsidR="00173E7F" w:rsidRDefault="00173E7F" w:rsidP="00D443A6">
      <w:pPr>
        <w:jc w:val="both"/>
      </w:pPr>
      <w:r>
        <w:t xml:space="preserve">Potpora osobama u riziku od siromaštva se odnosi na isplatu pomoći građanima i kućanstvima te iznose </w:t>
      </w:r>
      <w:r w:rsidR="008B587C">
        <w:t>42.828,44</w:t>
      </w:r>
      <w:r>
        <w:t xml:space="preserve"> eura.</w:t>
      </w:r>
    </w:p>
    <w:p w14:paraId="21DAA57D" w14:textId="6468AD87" w:rsidR="00173E7F" w:rsidRDefault="00173E7F" w:rsidP="00D443A6">
      <w:pPr>
        <w:jc w:val="both"/>
      </w:pPr>
      <w:r>
        <w:t xml:space="preserve">Projekt NO </w:t>
      </w:r>
      <w:proofErr w:type="spellStart"/>
      <w:r>
        <w:t>Boundaries</w:t>
      </w:r>
      <w:proofErr w:type="spellEnd"/>
      <w:r>
        <w:t xml:space="preserve"> sufinanciran je sredstvima EU i utrošen je u iznosu od </w:t>
      </w:r>
      <w:r w:rsidR="008B587C">
        <w:t>82.246,53</w:t>
      </w:r>
      <w:r>
        <w:t xml:space="preserve"> eura. Namjena mu je promicanje sportskih aktivnosti i zdravog načina života kod </w:t>
      </w:r>
      <w:r w:rsidR="00E234E4">
        <w:t xml:space="preserve">djece i mladih </w:t>
      </w:r>
      <w:r>
        <w:t>osoba s invaliditetom.</w:t>
      </w:r>
      <w:r w:rsidR="008B587C">
        <w:t xml:space="preserve"> Za Projekt EMV-LII utrošeno je tijekom 2024. godine 3.895,65 eura, dok se </w:t>
      </w:r>
      <w:r w:rsidR="006B14B6">
        <w:t xml:space="preserve">za </w:t>
      </w:r>
      <w:r w:rsidR="008B587C">
        <w:t xml:space="preserve">aktivnost </w:t>
      </w:r>
      <w:r w:rsidR="006B14B6">
        <w:t>Š</w:t>
      </w:r>
      <w:r w:rsidR="008B587C">
        <w:t>arenim čarapama do cilja izdvojilo 1.088,50 eura za udrugu Down.</w:t>
      </w:r>
    </w:p>
    <w:p w14:paraId="14EF4B15" w14:textId="77777777" w:rsidR="00877AB1" w:rsidRDefault="00877AB1" w:rsidP="00D443A6">
      <w:pPr>
        <w:jc w:val="both"/>
      </w:pPr>
    </w:p>
    <w:p w14:paraId="3B20334E" w14:textId="445594BD" w:rsidR="00861D4D" w:rsidRDefault="001F01A2" w:rsidP="00D443A6">
      <w:pPr>
        <w:jc w:val="both"/>
      </w:pPr>
      <w:r>
        <w:t xml:space="preserve">RAZDJEL </w:t>
      </w:r>
      <w:r w:rsidR="002F0F86">
        <w:t>800</w:t>
      </w:r>
      <w:r w:rsidR="00861D4D">
        <w:t xml:space="preserve"> – Upravni odjel za prostorno uređenje, gradnju i zaštitu okoliša – </w:t>
      </w:r>
      <w:r>
        <w:t xml:space="preserve">izvršenje </w:t>
      </w:r>
      <w:r w:rsidR="008166F8">
        <w:t>84</w:t>
      </w:r>
      <w:r w:rsidR="00A1172F">
        <w:t>,</w:t>
      </w:r>
      <w:r w:rsidR="008166F8">
        <w:t>50</w:t>
      </w:r>
      <w:r>
        <w:t xml:space="preserve">%, a najveći udio pripada proračunskom korisnicima Javnoj ustanovi Međimurska priroda </w:t>
      </w:r>
      <w:r w:rsidR="00A1172F">
        <w:t>(</w:t>
      </w:r>
      <w:r w:rsidR="008166F8">
        <w:t>856.407,57</w:t>
      </w:r>
      <w:r w:rsidR="002F0F86">
        <w:t xml:space="preserve"> eura) </w:t>
      </w:r>
      <w:r>
        <w:t>i Zavodu za prostorno uređenje Međimurske županije</w:t>
      </w:r>
      <w:r w:rsidR="002F0F86">
        <w:t xml:space="preserve"> (</w:t>
      </w:r>
      <w:r w:rsidR="008166F8">
        <w:t>267.737,06</w:t>
      </w:r>
      <w:r w:rsidR="002F0F86">
        <w:t xml:space="preserve"> eura)</w:t>
      </w:r>
      <w:r>
        <w:t xml:space="preserve">. Rashodi Regionalnog centra za gospodarenje otpadom </w:t>
      </w:r>
      <w:proofErr w:type="spellStart"/>
      <w:r>
        <w:t>Piškornica</w:t>
      </w:r>
      <w:proofErr w:type="spellEnd"/>
      <w:r>
        <w:t xml:space="preserve"> odnose se na sufinanciranje tekućih troškova i isti su isplaćeni u visini </w:t>
      </w:r>
      <w:r w:rsidR="008166F8">
        <w:t>od 189.083,01</w:t>
      </w:r>
      <w:r w:rsidR="002F0F86">
        <w:t xml:space="preserve"> eura</w:t>
      </w:r>
      <w:r>
        <w:t>.</w:t>
      </w:r>
    </w:p>
    <w:p w14:paraId="62DD4807" w14:textId="77777777" w:rsidR="002F0F86" w:rsidRDefault="002F0F86" w:rsidP="00D443A6">
      <w:pPr>
        <w:jc w:val="both"/>
      </w:pPr>
    </w:p>
    <w:p w14:paraId="380036F1" w14:textId="3A254F07" w:rsidR="002F0F86" w:rsidRDefault="002F0F86" w:rsidP="00D443A6">
      <w:pPr>
        <w:jc w:val="both"/>
      </w:pPr>
      <w:r>
        <w:t xml:space="preserve">RAZDJEL 901 – Upravni odjel za međunarodnu suradnju, upravljanje projektima i investicije – izvršenje </w:t>
      </w:r>
      <w:r w:rsidR="00E905E5">
        <w:t xml:space="preserve">iznosi </w:t>
      </w:r>
      <w:r w:rsidR="002D0FFC">
        <w:t>76,50</w:t>
      </w:r>
      <w:r>
        <w:t xml:space="preserve">% </w:t>
      </w:r>
      <w:r w:rsidR="00E905E5">
        <w:t>u odnosu na plan</w:t>
      </w:r>
      <w:r w:rsidR="00213DF8">
        <w:t xml:space="preserve">, </w:t>
      </w:r>
      <w:r>
        <w:t>najveći udio odnosi na Odsjek za upravljanje projektima i investicije (4.</w:t>
      </w:r>
      <w:r w:rsidR="002D0FFC">
        <w:t>275.441,25</w:t>
      </w:r>
      <w:r>
        <w:t xml:space="preserve"> eura). Najznačajniji rashodi se odnose na </w:t>
      </w:r>
      <w:r w:rsidR="00F05E46">
        <w:t>i</w:t>
      </w:r>
      <w:r w:rsidR="002D0FFC">
        <w:t>zgradnju dvorane OŠ Sveta Marija (1.365.927,31 eura)</w:t>
      </w:r>
      <w:r w:rsidR="00F05E46">
        <w:t xml:space="preserve">, izgradnju Centra za odgoj i obrazovanje Čakovec (483.620,46 eura),  izgradnju Logističko-distributivnog centra za voće i povrće (180.228,59 eura), </w:t>
      </w:r>
      <w:r>
        <w:t xml:space="preserve">Mjere prilagodbe klimatskim promjenama </w:t>
      </w:r>
      <w:r w:rsidR="00F05E46">
        <w:t xml:space="preserve">u Centru znanja (429.463,22 eura) i drugim lokacijama, projekt Zelena oaza (108.456,62 eura), radovi na Poslovnom parku (144.298,28 eura), znanstveni centar ITEO (80.803,93 eura), sufinanciranje cestovne kanalizacije (100.000,00 eura), izrada dokumentacije za Centar za starije osobe </w:t>
      </w:r>
      <w:r w:rsidR="00213DF8">
        <w:t>MŽ</w:t>
      </w:r>
      <w:r w:rsidR="00F05E46">
        <w:t xml:space="preserve"> (57.659,57 eura). Za škole se dodatno ulagalo za dokumentaciju (NPOO – 66.871,81 eura), </w:t>
      </w:r>
      <w:r w:rsidR="00213DF8">
        <w:t>za</w:t>
      </w:r>
      <w:r w:rsidR="00F05E46">
        <w:t xml:space="preserve"> obnov</w:t>
      </w:r>
      <w:r w:rsidR="00213DF8">
        <w:t>u</w:t>
      </w:r>
      <w:r w:rsidR="00F05E46">
        <w:t xml:space="preserve"> objekata u odgoju i obrazovanju (156.029,49 eura), za energetsku obnovu školske sportske dvorane </w:t>
      </w:r>
      <w:r w:rsidR="00213DF8">
        <w:t xml:space="preserve">OŠ Prelog </w:t>
      </w:r>
      <w:r w:rsidR="00F05E46">
        <w:t>utrošilo se dodatnih 98.022,44 eura, dok se za izradu dokumentacije OŠ Nedelišće izdvojilo 10.846,88 eura.</w:t>
      </w:r>
      <w:r w:rsidR="00213DF8">
        <w:t xml:space="preserve"> Za sanaciju bivših vojnih objekata u Centru znanja izdvojilo se 60.000,00 eura, a za obnovu zgrade </w:t>
      </w:r>
      <w:proofErr w:type="spellStart"/>
      <w:r w:rsidR="00213DF8">
        <w:t>Scheier</w:t>
      </w:r>
      <w:proofErr w:type="spellEnd"/>
      <w:r w:rsidR="00213DF8">
        <w:t xml:space="preserve"> 4.900,00 eura. Provodili su se i projekti sufinancirani </w:t>
      </w:r>
      <w:r w:rsidR="00213DF8">
        <w:lastRenderedPageBreak/>
        <w:t xml:space="preserve">sredstvima EU i to Projekt </w:t>
      </w:r>
      <w:proofErr w:type="spellStart"/>
      <w:r w:rsidR="00213DF8">
        <w:t>Esinergy</w:t>
      </w:r>
      <w:proofErr w:type="spellEnd"/>
      <w:r w:rsidR="00213DF8">
        <w:t xml:space="preserve"> (83.661,59 eura), Europe </w:t>
      </w:r>
      <w:proofErr w:type="spellStart"/>
      <w:r w:rsidR="00213DF8">
        <w:t>Direct</w:t>
      </w:r>
      <w:proofErr w:type="spellEnd"/>
      <w:r w:rsidR="00213DF8">
        <w:t xml:space="preserve"> (32.476,88 eura) i </w:t>
      </w:r>
      <w:proofErr w:type="spellStart"/>
      <w:r w:rsidR="00213DF8">
        <w:t>Safe-Land</w:t>
      </w:r>
      <w:proofErr w:type="spellEnd"/>
      <w:r w:rsidR="00213DF8">
        <w:t xml:space="preserve"> (32.761,64 eura). </w:t>
      </w:r>
      <w:r w:rsidR="00E905E5">
        <w:t xml:space="preserve">Tekuće i kapitalne pomoći općinama i gradovima isplaćene su u visini od </w:t>
      </w:r>
      <w:r w:rsidR="00213DF8">
        <w:t>173.000,63</w:t>
      </w:r>
      <w:r w:rsidR="00E905E5">
        <w:t xml:space="preserve"> eura, </w:t>
      </w:r>
      <w:r w:rsidR="00213DF8">
        <w:t>dok se za kapitalnu pomoć u razvoju prometne infrastrukture izdvojilo 44.853,01 eura.</w:t>
      </w:r>
    </w:p>
    <w:p w14:paraId="1E59AE6D" w14:textId="77777777" w:rsidR="00ED1082" w:rsidRDefault="00ED1082" w:rsidP="00C4045C">
      <w:pPr>
        <w:jc w:val="both"/>
        <w:rPr>
          <w:shd w:val="clear" w:color="auto" w:fill="FFFF00"/>
        </w:rPr>
      </w:pPr>
    </w:p>
    <w:p w14:paraId="71853ACD" w14:textId="1CC6E4B4" w:rsidR="00943E9C" w:rsidRPr="008805ED" w:rsidRDefault="00D36A6C" w:rsidP="00943E9C">
      <w:pPr>
        <w:jc w:val="both"/>
        <w:rPr>
          <w:b/>
        </w:rPr>
      </w:pPr>
      <w:r>
        <w:rPr>
          <w:b/>
        </w:rPr>
        <w:t>I</w:t>
      </w:r>
      <w:r w:rsidR="00943E9C">
        <w:rPr>
          <w:b/>
        </w:rPr>
        <w:t>zvještaj o provedbi višegodišnjeg plana uravnoteženja</w:t>
      </w:r>
    </w:p>
    <w:p w14:paraId="19E6FFAA" w14:textId="77777777" w:rsidR="00B43A83" w:rsidRDefault="00B43A83" w:rsidP="00F3201B">
      <w:pPr>
        <w:jc w:val="both"/>
      </w:pPr>
    </w:p>
    <w:p w14:paraId="1F2DB4F3" w14:textId="1158542D" w:rsidR="0059288F" w:rsidRPr="004A237D" w:rsidRDefault="0059288F" w:rsidP="00BC3A1A">
      <w:pPr>
        <w:jc w:val="both"/>
      </w:pPr>
      <w:r w:rsidRPr="004A237D">
        <w:t xml:space="preserve">Skupština Međimurske županije je na </w:t>
      </w:r>
      <w:r w:rsidRPr="004A237D">
        <w:softHyphen/>
      </w:r>
      <w:r w:rsidRPr="004A237D">
        <w:softHyphen/>
      </w:r>
      <w:r w:rsidRPr="004A237D">
        <w:softHyphen/>
      </w:r>
      <w:r w:rsidRPr="004A237D">
        <w:softHyphen/>
      </w:r>
      <w:r w:rsidR="00B43A83">
        <w:t>15</w:t>
      </w:r>
      <w:r>
        <w:t xml:space="preserve">. sjednici, održanoj, </w:t>
      </w:r>
      <w:r w:rsidR="00B43A83">
        <w:t>21</w:t>
      </w:r>
      <w:r w:rsidRPr="004A237D">
        <w:t>.</w:t>
      </w:r>
      <w:r>
        <w:t xml:space="preserve"> </w:t>
      </w:r>
      <w:r w:rsidR="00B43A83">
        <w:t>prosinca</w:t>
      </w:r>
      <w:r w:rsidRPr="004A237D">
        <w:t xml:space="preserve"> 202</w:t>
      </w:r>
      <w:r w:rsidR="00B43A83">
        <w:t>3</w:t>
      </w:r>
      <w:r w:rsidRPr="004A237D">
        <w:t>. godine, donijela</w:t>
      </w:r>
    </w:p>
    <w:p w14:paraId="3783861A" w14:textId="14D50452" w:rsidR="00396AC5" w:rsidRDefault="00B43A83" w:rsidP="00BC3A1A">
      <w:pPr>
        <w:jc w:val="both"/>
      </w:pPr>
      <w:r>
        <w:t>Višegodišnji plan uravnoteženja proračuna Međimurske županije - P</w:t>
      </w:r>
      <w:r w:rsidR="0059288F">
        <w:t>okri</w:t>
      </w:r>
      <w:r w:rsidR="008C36C3">
        <w:t xml:space="preserve">će manjka prihoda i primitaka Proračuna Međimurske županije kojim </w:t>
      </w:r>
      <w:r w:rsidR="00F3201B">
        <w:t xml:space="preserve">se omogućuje Međimurskoj županiji i njenim proračunskim korisnicima pokriće manjka kroz trogodišnje razdoblje za koje se proračun i donosi. </w:t>
      </w:r>
    </w:p>
    <w:p w14:paraId="4BBC5349" w14:textId="7C3AD7ED" w:rsidR="00943E9C" w:rsidRDefault="00396AC5" w:rsidP="00BC3A1A">
      <w:pPr>
        <w:jc w:val="both"/>
      </w:pPr>
      <w:r>
        <w:t xml:space="preserve">U sklopu proračuna utvrđeni manjak </w:t>
      </w:r>
      <w:r w:rsidR="008E3BB5">
        <w:t xml:space="preserve">odnosi se najvećim dijelom na Županijsku bolnicu Čakovec (8.387.250,58 eura) i Međimursku županiju (2.215.437,85 eura). Budući da proračun za 2024. godinu </w:t>
      </w:r>
      <w:r w:rsidR="00BC3A1A">
        <w:t xml:space="preserve">više </w:t>
      </w:r>
      <w:r w:rsidR="008E3BB5">
        <w:t>ne sadr</w:t>
      </w:r>
      <w:r w:rsidR="00BC3A1A">
        <w:t>ži financijski</w:t>
      </w:r>
      <w:r w:rsidR="008E3BB5">
        <w:t xml:space="preserve"> plan Županijske bolnice Čakovec planirano je pokriće manjka prvenstveno kod Međimurske županije </w:t>
      </w:r>
      <w:r>
        <w:t>i to slijedećom dinamikom:</w:t>
      </w:r>
    </w:p>
    <w:p w14:paraId="12D3E812" w14:textId="0531AA81" w:rsidR="00396AC5" w:rsidRDefault="00396AC5" w:rsidP="00BC3A1A">
      <w:pPr>
        <w:jc w:val="both"/>
      </w:pPr>
      <w:r>
        <w:t>202</w:t>
      </w:r>
      <w:r w:rsidR="008E3BB5">
        <w:t>4</w:t>
      </w:r>
      <w:r w:rsidRPr="00F80572">
        <w:t xml:space="preserve">. godina – </w:t>
      </w:r>
      <w:r w:rsidR="008E3BB5">
        <w:t>planiran konsolidirani višak od 136.223,97</w:t>
      </w:r>
      <w:r w:rsidR="00E905E5">
        <w:t xml:space="preserve"> eura</w:t>
      </w:r>
      <w:r w:rsidR="008E3BB5">
        <w:t xml:space="preserve"> (pokriće manjka Međimurske županije od 1.000.000,00 eura, višak kod proračunskih korisnika od 1,136.223,97 eura)</w:t>
      </w:r>
    </w:p>
    <w:p w14:paraId="238111FF" w14:textId="3F60A9BB" w:rsidR="008E3BB5" w:rsidRDefault="008E3BB5" w:rsidP="00BC3A1A">
      <w:pPr>
        <w:jc w:val="both"/>
      </w:pPr>
      <w:r>
        <w:t>2025. godina – pokriće manjka Međimurske županije u iznosu od 600.000,00 eura</w:t>
      </w:r>
    </w:p>
    <w:p w14:paraId="411D6DB9" w14:textId="098FB2F7" w:rsidR="008E3BB5" w:rsidRPr="00F80572" w:rsidRDefault="008E3BB5" w:rsidP="00BC3A1A">
      <w:pPr>
        <w:jc w:val="both"/>
      </w:pPr>
      <w:r>
        <w:t>2026. godina – pokriće manjka Međimurske županije u iznosu od 615.437,85 eura</w:t>
      </w:r>
    </w:p>
    <w:p w14:paraId="6EBDF940" w14:textId="77777777" w:rsidR="000A1348" w:rsidRDefault="000A1348" w:rsidP="00BC3A1A">
      <w:pPr>
        <w:jc w:val="both"/>
      </w:pPr>
    </w:p>
    <w:p w14:paraId="497D0561" w14:textId="77777777" w:rsidR="00492F5A" w:rsidRDefault="00492F5A" w:rsidP="00492F5A">
      <w:pPr>
        <w:jc w:val="both"/>
      </w:pPr>
      <w:r>
        <w:t>U cilju realizacije pokrića manjka prihoda i primitaka utvrđene su slijedeće mjere za</w:t>
      </w:r>
      <w:r w:rsidRPr="00FB23A4">
        <w:t xml:space="preserve"> </w:t>
      </w:r>
      <w:r>
        <w:t>otklanjanje utvrđenih uzroka nastanka negativnog poslovanja te mjera za stabilno održivo poslovanje:</w:t>
      </w:r>
    </w:p>
    <w:p w14:paraId="5C44308E" w14:textId="77777777" w:rsidR="00492F5A" w:rsidRDefault="00492F5A" w:rsidP="00492F5A">
      <w:pPr>
        <w:pStyle w:val="Odlomakpopisa"/>
        <w:numPr>
          <w:ilvl w:val="0"/>
          <w:numId w:val="13"/>
        </w:numPr>
        <w:jc w:val="both"/>
      </w:pPr>
      <w:r>
        <w:t>Potpuna, pravodobna i efikasna naplata prihoda</w:t>
      </w:r>
    </w:p>
    <w:p w14:paraId="3F079B04" w14:textId="77777777" w:rsidR="00492F5A" w:rsidRDefault="00492F5A" w:rsidP="00492F5A">
      <w:pPr>
        <w:pStyle w:val="Odlomakpopisa"/>
        <w:numPr>
          <w:ilvl w:val="0"/>
          <w:numId w:val="13"/>
        </w:numPr>
        <w:jc w:val="both"/>
      </w:pPr>
      <w:r>
        <w:t>Prioritet kod planiranja i izvršavanja proračuna imaju zakonske i ugovorne obveze</w:t>
      </w:r>
    </w:p>
    <w:p w14:paraId="21D2C3B8" w14:textId="77777777" w:rsidR="00492F5A" w:rsidRDefault="00492F5A" w:rsidP="00492F5A">
      <w:pPr>
        <w:pStyle w:val="Odlomakpopisa"/>
        <w:numPr>
          <w:ilvl w:val="0"/>
          <w:numId w:val="13"/>
        </w:numPr>
        <w:jc w:val="both"/>
      </w:pPr>
      <w:r>
        <w:t>Pokriće manjka planirati u Financijskim planovima i Izmjenama i dopunama istih</w:t>
      </w:r>
    </w:p>
    <w:p w14:paraId="2DAB2676" w14:textId="77777777" w:rsidR="00492F5A" w:rsidRPr="00034098" w:rsidRDefault="00492F5A" w:rsidP="00492F5A">
      <w:pPr>
        <w:pStyle w:val="Odlomakpopisa"/>
        <w:numPr>
          <w:ilvl w:val="0"/>
          <w:numId w:val="13"/>
        </w:numPr>
        <w:jc w:val="both"/>
      </w:pPr>
      <w:r>
        <w:t>Naplata prihoda putem obročne otplate duga</w:t>
      </w:r>
    </w:p>
    <w:p w14:paraId="19EF54B0" w14:textId="77777777" w:rsidR="00492F5A" w:rsidRDefault="00492F5A" w:rsidP="00492F5A">
      <w:pPr>
        <w:pStyle w:val="Odlomakpopisa"/>
        <w:numPr>
          <w:ilvl w:val="0"/>
          <w:numId w:val="13"/>
        </w:numPr>
        <w:jc w:val="both"/>
      </w:pPr>
      <w:r>
        <w:t>Naplata putem instrumenata osiguranja plaćanja i pokretanje ovršnog postupka radi naplate potraživanja</w:t>
      </w:r>
    </w:p>
    <w:p w14:paraId="0D9092EC" w14:textId="77777777" w:rsidR="00492F5A" w:rsidRDefault="00492F5A" w:rsidP="00492F5A">
      <w:pPr>
        <w:pStyle w:val="Odlomakpopisa"/>
        <w:numPr>
          <w:ilvl w:val="0"/>
          <w:numId w:val="13"/>
        </w:numPr>
        <w:jc w:val="both"/>
      </w:pPr>
      <w:r>
        <w:t xml:space="preserve">Prisilna naplata i </w:t>
      </w:r>
      <w:proofErr w:type="spellStart"/>
      <w:r>
        <w:t>utuženja</w:t>
      </w:r>
      <w:proofErr w:type="spellEnd"/>
      <w:r>
        <w:t xml:space="preserve"> nenaplaćenih potraživanja iz prethodnih godina</w:t>
      </w:r>
    </w:p>
    <w:p w14:paraId="7E6116F0" w14:textId="77777777" w:rsidR="00492F5A" w:rsidRDefault="00492F5A" w:rsidP="00492F5A">
      <w:pPr>
        <w:pStyle w:val="Odlomakpopisa"/>
        <w:numPr>
          <w:ilvl w:val="0"/>
          <w:numId w:val="13"/>
        </w:numPr>
        <w:jc w:val="both"/>
      </w:pPr>
      <w:r>
        <w:t>Povećanje financiranja proračunskih projekata i aktivnosti iz tekućih i kapitalnih pomoći</w:t>
      </w:r>
    </w:p>
    <w:p w14:paraId="4D980451" w14:textId="77777777" w:rsidR="008E3BB5" w:rsidRDefault="008E3BB5" w:rsidP="00492F5A"/>
    <w:p w14:paraId="6DB9DFA8" w14:textId="5D66D8CC" w:rsidR="00492F5A" w:rsidRDefault="00492F5A" w:rsidP="00492F5A">
      <w:r>
        <w:t>Rezultati provedenih mjera:</w:t>
      </w:r>
    </w:p>
    <w:p w14:paraId="6748FA63" w14:textId="77777777" w:rsidR="00AF2091" w:rsidRDefault="00AF2091" w:rsidP="00D75EDE">
      <w:pPr>
        <w:jc w:val="both"/>
      </w:pPr>
    </w:p>
    <w:p w14:paraId="145F5078" w14:textId="77777777" w:rsidR="00AF2091" w:rsidRDefault="007D505C" w:rsidP="00D75EDE">
      <w:pPr>
        <w:jc w:val="both"/>
      </w:pPr>
      <w:r>
        <w:t>N</w:t>
      </w:r>
      <w:r w:rsidR="00492F5A">
        <w:t>a dan 31. prosinca 202</w:t>
      </w:r>
      <w:r w:rsidR="008E3BB5">
        <w:t>3</w:t>
      </w:r>
      <w:r w:rsidR="00492F5A">
        <w:t xml:space="preserve">. godine </w:t>
      </w:r>
      <w:r>
        <w:t xml:space="preserve">manjak konsolidiranog proračuna </w:t>
      </w:r>
      <w:r w:rsidR="00492F5A">
        <w:t>iznosi</w:t>
      </w:r>
      <w:r w:rsidR="008E3BB5">
        <w:t>o je</w:t>
      </w:r>
      <w:r w:rsidR="00FC369D">
        <w:t xml:space="preserve"> 7.365.436,21 eura</w:t>
      </w:r>
      <w:r w:rsidR="00492F5A">
        <w:t xml:space="preserve"> </w:t>
      </w:r>
      <w:r>
        <w:t xml:space="preserve">i </w:t>
      </w:r>
      <w:r w:rsidR="00D91094">
        <w:t>n</w:t>
      </w:r>
      <w:r w:rsidR="00C05548">
        <w:t>egativno poslovanje</w:t>
      </w:r>
      <w:r w:rsidR="00D91094">
        <w:t xml:space="preserve"> se najvećim dijelom odnosi</w:t>
      </w:r>
      <w:r w:rsidR="008E3BB5">
        <w:t>lo</w:t>
      </w:r>
      <w:r w:rsidR="00D91094">
        <w:t xml:space="preserve"> na</w:t>
      </w:r>
      <w:r w:rsidR="00C05548">
        <w:t xml:space="preserve"> Županijsk</w:t>
      </w:r>
      <w:r w:rsidR="00D91094">
        <w:t>u</w:t>
      </w:r>
      <w:r w:rsidR="00C05548">
        <w:t xml:space="preserve"> bolnic</w:t>
      </w:r>
      <w:r w:rsidR="00D91094">
        <w:t>u</w:t>
      </w:r>
      <w:r w:rsidR="00C05548">
        <w:t xml:space="preserve"> Čakovec, </w:t>
      </w:r>
      <w:r w:rsidR="00D91094">
        <w:t xml:space="preserve">čiji se rezultat više ne prikazuje unutar proračuna </w:t>
      </w:r>
      <w:r w:rsidR="00C05548">
        <w:t>Međimursk</w:t>
      </w:r>
      <w:r w:rsidR="00D91094">
        <w:t>e</w:t>
      </w:r>
      <w:r w:rsidR="00C05548">
        <w:t xml:space="preserve"> županij</w:t>
      </w:r>
      <w:r w:rsidR="00D91094">
        <w:t>e</w:t>
      </w:r>
      <w:r w:rsidR="006C7293">
        <w:t>.</w:t>
      </w:r>
      <w:r w:rsidR="00C05548">
        <w:t xml:space="preserve"> </w:t>
      </w:r>
    </w:p>
    <w:p w14:paraId="311B51EB" w14:textId="13A06765" w:rsidR="00D75EDE" w:rsidRDefault="00FC369D" w:rsidP="00D75EDE">
      <w:pPr>
        <w:jc w:val="both"/>
      </w:pPr>
      <w:r>
        <w:t>Međimurska županija</w:t>
      </w:r>
      <w:r w:rsidR="00687355">
        <w:t xml:space="preserve"> </w:t>
      </w:r>
      <w:r w:rsidR="00471BFF">
        <w:t xml:space="preserve">je na dan 31.12.2024. godine </w:t>
      </w:r>
      <w:r w:rsidR="006C7293">
        <w:t>ostvarila je</w:t>
      </w:r>
      <w:r w:rsidR="001570BE">
        <w:t xml:space="preserve"> pozitiv</w:t>
      </w:r>
      <w:r w:rsidR="006C7293">
        <w:t>an</w:t>
      </w:r>
      <w:r w:rsidR="001570BE">
        <w:t xml:space="preserve"> rezultat tekuće godine</w:t>
      </w:r>
      <w:r w:rsidR="00687355">
        <w:t xml:space="preserve"> </w:t>
      </w:r>
      <w:r w:rsidR="001570BE">
        <w:t>što govori o uspješnoj realizaciji pokrića manjka prihoda i primitaka navedenim programom mjera</w:t>
      </w:r>
      <w:r w:rsidR="008E3BB5">
        <w:t xml:space="preserve"> te je konsolidirani</w:t>
      </w:r>
      <w:r w:rsidR="00AF2091">
        <w:t xml:space="preserve"> </w:t>
      </w:r>
      <w:r w:rsidR="008E3BB5">
        <w:t>proračun</w:t>
      </w:r>
      <w:r w:rsidR="00471BFF">
        <w:t xml:space="preserve"> na dan 31.12.2024. godine,</w:t>
      </w:r>
      <w:r w:rsidR="008E3BB5">
        <w:t xml:space="preserve"> </w:t>
      </w:r>
      <w:r w:rsidR="00AF2091">
        <w:t>nakon pokrića manjka</w:t>
      </w:r>
      <w:r w:rsidR="00471BFF">
        <w:t>,</w:t>
      </w:r>
      <w:r w:rsidR="00AF2091">
        <w:t xml:space="preserve"> rezultirao </w:t>
      </w:r>
      <w:r w:rsidR="008E3BB5">
        <w:t>pozitivnim rezultatom</w:t>
      </w:r>
      <w:r w:rsidR="00AF2091">
        <w:t xml:space="preserve"> </w:t>
      </w:r>
      <w:r w:rsidR="008E3BB5">
        <w:t>u iznosu od 4.097.</w:t>
      </w:r>
      <w:r w:rsidR="00AF2091">
        <w:t>261,99 eura.</w:t>
      </w:r>
      <w:r w:rsidR="00BC3A1A">
        <w:t xml:space="preserve"> Navedeni se pozitivan rezultat planirao </w:t>
      </w:r>
      <w:r w:rsidR="00D51A5D">
        <w:t>unutar</w:t>
      </w:r>
      <w:r w:rsidR="00BC3A1A">
        <w:t xml:space="preserve"> proračuna za razdoblje od 2025. do 2027. godine novim višegodišnjim planom uravnoteženja.</w:t>
      </w:r>
    </w:p>
    <w:p w14:paraId="45ACD6A9" w14:textId="77777777" w:rsidR="00D75EDE" w:rsidRDefault="00D75EDE" w:rsidP="00D75EDE">
      <w:pPr>
        <w:jc w:val="both"/>
      </w:pPr>
    </w:p>
    <w:p w14:paraId="0AF4CC5D" w14:textId="77777777" w:rsidR="00AB06D4" w:rsidRDefault="00AB06D4">
      <w:pPr>
        <w:spacing w:after="160" w:line="259" w:lineRule="auto"/>
        <w:rPr>
          <w:b/>
          <w:bCs/>
          <w:sz w:val="22"/>
          <w:szCs w:val="22"/>
          <w:lang w:eastAsia="en-US"/>
        </w:rPr>
      </w:pPr>
      <w:r>
        <w:rPr>
          <w:b/>
          <w:bCs/>
          <w:sz w:val="22"/>
          <w:szCs w:val="22"/>
          <w:lang w:eastAsia="en-US"/>
        </w:rPr>
        <w:br w:type="page"/>
      </w:r>
    </w:p>
    <w:p w14:paraId="716737C4" w14:textId="77777777" w:rsidR="00AB06D4" w:rsidRDefault="00AB06D4" w:rsidP="00D75EDE">
      <w:pPr>
        <w:jc w:val="both"/>
        <w:rPr>
          <w:b/>
          <w:bCs/>
          <w:sz w:val="22"/>
          <w:szCs w:val="22"/>
          <w:lang w:eastAsia="en-US"/>
        </w:rPr>
      </w:pPr>
    </w:p>
    <w:p w14:paraId="0A1D9B15" w14:textId="77777777" w:rsidR="00AB06D4" w:rsidRDefault="00AB06D4" w:rsidP="00D75EDE">
      <w:pPr>
        <w:jc w:val="both"/>
        <w:rPr>
          <w:b/>
          <w:bCs/>
          <w:sz w:val="22"/>
          <w:szCs w:val="22"/>
          <w:lang w:eastAsia="en-US"/>
        </w:rPr>
      </w:pPr>
    </w:p>
    <w:p w14:paraId="031A3620" w14:textId="77777777" w:rsidR="007113C3" w:rsidRDefault="007113C3" w:rsidP="00D75EDE">
      <w:pPr>
        <w:jc w:val="both"/>
        <w:rPr>
          <w:b/>
          <w:bCs/>
          <w:sz w:val="22"/>
          <w:szCs w:val="22"/>
          <w:lang w:eastAsia="en-US"/>
        </w:rPr>
      </w:pPr>
    </w:p>
    <w:p w14:paraId="1BA44C8A" w14:textId="77777777" w:rsidR="007113C3" w:rsidRDefault="007113C3" w:rsidP="00D75EDE">
      <w:pPr>
        <w:jc w:val="both"/>
        <w:rPr>
          <w:b/>
          <w:bCs/>
          <w:sz w:val="22"/>
          <w:szCs w:val="22"/>
          <w:lang w:eastAsia="en-US"/>
        </w:rPr>
      </w:pPr>
    </w:p>
    <w:p w14:paraId="36C6EF4A" w14:textId="6ED23A7B" w:rsidR="005456D9" w:rsidRDefault="005456D9" w:rsidP="00D75EDE">
      <w:pPr>
        <w:jc w:val="both"/>
        <w:rPr>
          <w:b/>
          <w:bCs/>
          <w:sz w:val="22"/>
          <w:szCs w:val="22"/>
          <w:lang w:eastAsia="en-US"/>
        </w:rPr>
      </w:pPr>
      <w:r w:rsidRPr="00CF1916">
        <w:rPr>
          <w:b/>
          <w:bCs/>
          <w:sz w:val="22"/>
          <w:szCs w:val="22"/>
          <w:lang w:eastAsia="en-US"/>
        </w:rPr>
        <w:t>Pregled uz točku 5. - Konsolidirani pregled danih jamstava Međimurske županije do 31.12.202</w:t>
      </w:r>
      <w:r w:rsidR="00FC4334" w:rsidRPr="00CF1916">
        <w:rPr>
          <w:b/>
          <w:bCs/>
          <w:sz w:val="22"/>
          <w:szCs w:val="22"/>
          <w:lang w:eastAsia="en-US"/>
        </w:rPr>
        <w:t>4</w:t>
      </w:r>
      <w:r w:rsidRPr="00CF1916">
        <w:rPr>
          <w:b/>
          <w:bCs/>
          <w:sz w:val="22"/>
          <w:szCs w:val="22"/>
          <w:lang w:eastAsia="en-US"/>
        </w:rPr>
        <w:t>. godine</w:t>
      </w:r>
    </w:p>
    <w:p w14:paraId="3EB7A1F5" w14:textId="77777777" w:rsidR="00D75EDE" w:rsidRPr="007879DC" w:rsidRDefault="00D75EDE" w:rsidP="00D75EDE">
      <w:pPr>
        <w:jc w:val="both"/>
        <w:rPr>
          <w:b/>
          <w:bCs/>
          <w:sz w:val="22"/>
          <w:szCs w:val="22"/>
          <w:lang w:eastAsia="en-US"/>
        </w:rPr>
      </w:pPr>
    </w:p>
    <w:p w14:paraId="2EA449F9" w14:textId="77777777" w:rsidR="005456D9" w:rsidRDefault="005456D9" w:rsidP="005456D9">
      <w:pPr>
        <w:rPr>
          <w:rFonts w:ascii="Arial" w:hAnsi="Arial" w:cs="Arial"/>
          <w:b/>
          <w:sz w:val="22"/>
          <w:szCs w:val="22"/>
        </w:rPr>
      </w:pPr>
      <w:r w:rsidRPr="005456D9">
        <w:rPr>
          <w:rFonts w:ascii="Arial" w:hAnsi="Arial" w:cs="Arial"/>
          <w:b/>
          <w:sz w:val="22"/>
          <w:szCs w:val="22"/>
        </w:rPr>
        <w:t>Međimurska županija:</w:t>
      </w:r>
    </w:p>
    <w:p w14:paraId="5E6D454E" w14:textId="51D6987A" w:rsidR="0097503B" w:rsidRDefault="00FC4334" w:rsidP="005456D9">
      <w:pPr>
        <w:rPr>
          <w:rFonts w:ascii="Arial" w:hAnsi="Arial" w:cs="Arial"/>
          <w:b/>
          <w:sz w:val="22"/>
          <w:szCs w:val="22"/>
        </w:rPr>
      </w:pPr>
      <w:r>
        <w:rPr>
          <w:rFonts w:ascii="Arial" w:hAnsi="Arial" w:cs="Arial"/>
          <w:b/>
          <w:noProof/>
          <w:sz w:val="22"/>
          <w:szCs w:val="22"/>
        </w:rPr>
        <w:drawing>
          <wp:inline distT="0" distB="0" distL="0" distR="0" wp14:anchorId="44F65195" wp14:editId="1E750A66">
            <wp:extent cx="5761990" cy="6432697"/>
            <wp:effectExtent l="0" t="0" r="0" b="6350"/>
            <wp:docPr id="2685432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4643" cy="6435659"/>
                    </a:xfrm>
                    <a:prstGeom prst="rect">
                      <a:avLst/>
                    </a:prstGeom>
                    <a:noFill/>
                  </pic:spPr>
                </pic:pic>
              </a:graphicData>
            </a:graphic>
          </wp:inline>
        </w:drawing>
      </w:r>
    </w:p>
    <w:p w14:paraId="653937DE" w14:textId="6E8792A0" w:rsidR="00D75EDE" w:rsidRDefault="00D75EDE">
      <w:pPr>
        <w:spacing w:after="160" w:line="259" w:lineRule="auto"/>
        <w:rPr>
          <w:rFonts w:ascii="Arial" w:hAnsi="Arial" w:cs="Arial"/>
          <w:b/>
          <w:sz w:val="22"/>
          <w:szCs w:val="22"/>
        </w:rPr>
      </w:pPr>
      <w:r>
        <w:rPr>
          <w:rFonts w:ascii="Arial" w:hAnsi="Arial" w:cs="Arial"/>
          <w:b/>
          <w:sz w:val="22"/>
          <w:szCs w:val="22"/>
        </w:rPr>
        <w:br w:type="page"/>
      </w:r>
    </w:p>
    <w:p w14:paraId="6210ED9F" w14:textId="77777777" w:rsidR="001D769A" w:rsidRPr="005456D9" w:rsidRDefault="001D769A" w:rsidP="005456D9">
      <w:pPr>
        <w:rPr>
          <w:rFonts w:ascii="Arial" w:hAnsi="Arial" w:cs="Arial"/>
          <w:b/>
          <w:sz w:val="22"/>
          <w:szCs w:val="22"/>
        </w:rPr>
      </w:pPr>
    </w:p>
    <w:p w14:paraId="6047F3A9" w14:textId="77777777" w:rsidR="00D75EDE" w:rsidRDefault="00D75EDE" w:rsidP="009C78F0">
      <w:pPr>
        <w:pStyle w:val="Tijeloteksta2"/>
        <w:jc w:val="both"/>
        <w:rPr>
          <w:rFonts w:ascii="Times New Roman" w:hAnsi="Times New Roman" w:cs="Times New Roman"/>
          <w:b/>
          <w:bCs/>
          <w:sz w:val="22"/>
          <w:szCs w:val="22"/>
          <w:lang w:eastAsia="en-US"/>
        </w:rPr>
      </w:pPr>
    </w:p>
    <w:p w14:paraId="5733DFA0" w14:textId="2FE95779" w:rsidR="00030DCA" w:rsidRDefault="002F25A8" w:rsidP="009C78F0">
      <w:pPr>
        <w:pStyle w:val="Tijeloteksta2"/>
        <w:jc w:val="both"/>
        <w:rPr>
          <w:rFonts w:ascii="Times New Roman" w:hAnsi="Times New Roman" w:cs="Times New Roman"/>
          <w:b/>
          <w:bCs/>
          <w:sz w:val="22"/>
          <w:szCs w:val="22"/>
          <w:lang w:eastAsia="en-US"/>
        </w:rPr>
      </w:pPr>
      <w:r>
        <w:rPr>
          <w:rFonts w:ascii="Times New Roman" w:hAnsi="Times New Roman" w:cs="Times New Roman"/>
          <w:b/>
          <w:bCs/>
          <w:sz w:val="22"/>
          <w:szCs w:val="22"/>
          <w:lang w:eastAsia="en-US"/>
        </w:rPr>
        <w:t>Proračunski korisnici: IZDANA JAMSTVA</w:t>
      </w:r>
    </w:p>
    <w:p w14:paraId="44E33C2B" w14:textId="77777777" w:rsidR="0091507C" w:rsidRDefault="0091507C" w:rsidP="009C78F0">
      <w:pPr>
        <w:pStyle w:val="Tijeloteksta2"/>
        <w:jc w:val="both"/>
        <w:rPr>
          <w:rFonts w:ascii="Times New Roman" w:hAnsi="Times New Roman" w:cs="Times New Roman"/>
          <w:b/>
          <w:bCs/>
          <w:sz w:val="22"/>
          <w:szCs w:val="22"/>
          <w:lang w:eastAsia="en-US"/>
        </w:rPr>
      </w:pPr>
    </w:p>
    <w:p w14:paraId="682C35E8" w14:textId="77777777" w:rsidR="0091507C" w:rsidRPr="0091507C" w:rsidRDefault="0091507C" w:rsidP="0091507C">
      <w:pPr>
        <w:rPr>
          <w:rFonts w:ascii="Arial" w:hAnsi="Arial" w:cs="Arial"/>
          <w:b/>
          <w:bCs/>
          <w:sz w:val="22"/>
          <w:szCs w:val="22"/>
        </w:rPr>
      </w:pPr>
      <w:r w:rsidRPr="0091507C">
        <w:rPr>
          <w:rFonts w:ascii="Arial" w:hAnsi="Arial" w:cs="Arial"/>
          <w:b/>
          <w:bCs/>
          <w:sz w:val="22"/>
          <w:szCs w:val="22"/>
        </w:rPr>
        <w:t>Dom za starije i nemoćne osobe Čakovec</w:t>
      </w:r>
    </w:p>
    <w:p w14:paraId="031CFA53" w14:textId="77777777" w:rsidR="0091507C" w:rsidRPr="0091507C" w:rsidRDefault="0091507C" w:rsidP="0091507C">
      <w:pPr>
        <w:jc w:val="both"/>
        <w:rPr>
          <w:rFonts w:ascii="Cambria" w:hAnsi="Cambria" w:cs="Arial"/>
          <w:lang w:eastAsia="en-US"/>
        </w:rPr>
      </w:pPr>
      <w:r w:rsidRPr="0091507C">
        <w:rPr>
          <w:rFonts w:ascii="Cambria" w:hAnsi="Cambria" w:cs="Arial"/>
          <w:lang w:eastAsia="en-US"/>
        </w:rPr>
        <w:t>Prikaz jamstva za uredno ispunjenje ugovora prema ZJN 2016:</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40"/>
        <w:gridCol w:w="1606"/>
        <w:gridCol w:w="1605"/>
        <w:gridCol w:w="1606"/>
        <w:gridCol w:w="1606"/>
      </w:tblGrid>
      <w:tr w:rsidR="0091507C" w:rsidRPr="0091507C" w14:paraId="19BA37A3" w14:textId="77777777" w:rsidTr="00D5433B">
        <w:trPr>
          <w:trHeight w:val="85"/>
        </w:trPr>
        <w:tc>
          <w:tcPr>
            <w:tcW w:w="1271" w:type="dxa"/>
            <w:shd w:val="clear" w:color="000000" w:fill="BDD7EE"/>
            <w:noWrap/>
            <w:vAlign w:val="bottom"/>
            <w:hideMark/>
          </w:tcPr>
          <w:p w14:paraId="09BBEAFE"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red.br.</w:t>
            </w:r>
          </w:p>
        </w:tc>
        <w:tc>
          <w:tcPr>
            <w:tcW w:w="1940" w:type="dxa"/>
            <w:shd w:val="clear" w:color="000000" w:fill="BDD7EE"/>
            <w:vAlign w:val="bottom"/>
            <w:hideMark/>
          </w:tcPr>
          <w:p w14:paraId="0932C588"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poslovni broj</w:t>
            </w:r>
          </w:p>
        </w:tc>
        <w:tc>
          <w:tcPr>
            <w:tcW w:w="1606" w:type="dxa"/>
            <w:shd w:val="clear" w:color="000000" w:fill="BDD7EE"/>
            <w:vAlign w:val="bottom"/>
            <w:hideMark/>
          </w:tcPr>
          <w:p w14:paraId="7BD09FCD"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datum</w:t>
            </w:r>
          </w:p>
        </w:tc>
        <w:tc>
          <w:tcPr>
            <w:tcW w:w="1605" w:type="dxa"/>
            <w:shd w:val="clear" w:color="000000" w:fill="BDD7EE"/>
            <w:vAlign w:val="bottom"/>
            <w:hideMark/>
          </w:tcPr>
          <w:p w14:paraId="0D8F6F45"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Iznos u EUR</w:t>
            </w:r>
          </w:p>
        </w:tc>
        <w:tc>
          <w:tcPr>
            <w:tcW w:w="1606" w:type="dxa"/>
            <w:shd w:val="clear" w:color="000000" w:fill="BDD7EE"/>
            <w:vAlign w:val="bottom"/>
            <w:hideMark/>
          </w:tcPr>
          <w:p w14:paraId="52AC56F3"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izdavatelj</w:t>
            </w:r>
          </w:p>
        </w:tc>
        <w:tc>
          <w:tcPr>
            <w:tcW w:w="1606" w:type="dxa"/>
            <w:shd w:val="clear" w:color="000000" w:fill="BDD7EE"/>
            <w:vAlign w:val="bottom"/>
            <w:hideMark/>
          </w:tcPr>
          <w:p w14:paraId="38907A8D" w14:textId="77777777" w:rsidR="0091507C" w:rsidRPr="0091507C" w:rsidRDefault="0091507C" w:rsidP="0091507C">
            <w:pPr>
              <w:rPr>
                <w:rFonts w:ascii="Cambria" w:hAnsi="Cambria" w:cs="Calibri"/>
                <w:b/>
                <w:bCs/>
                <w:color w:val="000000"/>
                <w:sz w:val="20"/>
                <w:szCs w:val="20"/>
              </w:rPr>
            </w:pPr>
            <w:r w:rsidRPr="0091507C">
              <w:rPr>
                <w:rFonts w:ascii="Cambria" w:hAnsi="Cambria" w:cs="Calibri"/>
                <w:b/>
                <w:bCs/>
                <w:color w:val="000000"/>
                <w:sz w:val="20"/>
                <w:szCs w:val="20"/>
              </w:rPr>
              <w:t>namjena - grupa</w:t>
            </w:r>
          </w:p>
        </w:tc>
      </w:tr>
      <w:tr w:rsidR="0091507C" w:rsidRPr="0091507C" w14:paraId="1EC3A99B" w14:textId="77777777" w:rsidTr="00D5433B">
        <w:trPr>
          <w:trHeight w:val="815"/>
        </w:trPr>
        <w:tc>
          <w:tcPr>
            <w:tcW w:w="1271" w:type="dxa"/>
            <w:shd w:val="clear" w:color="auto" w:fill="auto"/>
            <w:noWrap/>
            <w:hideMark/>
          </w:tcPr>
          <w:p w14:paraId="17F51579"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1.</w:t>
            </w:r>
          </w:p>
        </w:tc>
        <w:tc>
          <w:tcPr>
            <w:tcW w:w="1940" w:type="dxa"/>
            <w:shd w:val="clear" w:color="auto" w:fill="auto"/>
            <w:noWrap/>
            <w:hideMark/>
          </w:tcPr>
          <w:p w14:paraId="304591B5"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OV-1521/2024</w:t>
            </w:r>
          </w:p>
        </w:tc>
        <w:tc>
          <w:tcPr>
            <w:tcW w:w="1606" w:type="dxa"/>
            <w:shd w:val="clear" w:color="auto" w:fill="auto"/>
            <w:noWrap/>
            <w:hideMark/>
          </w:tcPr>
          <w:p w14:paraId="77F3A2EB"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23.2.2024</w:t>
            </w:r>
          </w:p>
        </w:tc>
        <w:tc>
          <w:tcPr>
            <w:tcW w:w="1605" w:type="dxa"/>
            <w:shd w:val="clear" w:color="auto" w:fill="auto"/>
            <w:noWrap/>
            <w:hideMark/>
          </w:tcPr>
          <w:p w14:paraId="58BE0D3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700,00</w:t>
            </w:r>
          </w:p>
        </w:tc>
        <w:tc>
          <w:tcPr>
            <w:tcW w:w="1606" w:type="dxa"/>
            <w:shd w:val="clear" w:color="auto" w:fill="auto"/>
            <w:hideMark/>
          </w:tcPr>
          <w:p w14:paraId="0E0E4DA7"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VINDIJA </w:t>
            </w:r>
            <w:proofErr w:type="spellStart"/>
            <w:r w:rsidRPr="0091507C">
              <w:rPr>
                <w:rFonts w:ascii="Cambria" w:hAnsi="Cambria"/>
                <w:sz w:val="20"/>
                <w:szCs w:val="20"/>
                <w:lang w:val="en-US" w:eastAsia="en-US"/>
              </w:rPr>
              <w:t>d.d.</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Varaždin</w:t>
            </w:r>
            <w:proofErr w:type="spellEnd"/>
          </w:p>
        </w:tc>
        <w:tc>
          <w:tcPr>
            <w:tcW w:w="1606" w:type="dxa"/>
            <w:shd w:val="clear" w:color="auto" w:fill="auto"/>
            <w:hideMark/>
          </w:tcPr>
          <w:p w14:paraId="55C5C281"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Grupa 3 - </w:t>
            </w:r>
            <w:proofErr w:type="spellStart"/>
            <w:r w:rsidRPr="0091507C">
              <w:rPr>
                <w:rFonts w:ascii="Cambria" w:hAnsi="Cambria"/>
                <w:sz w:val="20"/>
                <w:szCs w:val="20"/>
                <w:lang w:val="en-US" w:eastAsia="en-US"/>
              </w:rPr>
              <w:t>Svježa</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piletina</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puretina</w:t>
            </w:r>
            <w:proofErr w:type="spellEnd"/>
          </w:p>
        </w:tc>
      </w:tr>
      <w:tr w:rsidR="0091507C" w:rsidRPr="0091507C" w14:paraId="620F1523" w14:textId="77777777" w:rsidTr="00D5433B">
        <w:trPr>
          <w:trHeight w:val="698"/>
        </w:trPr>
        <w:tc>
          <w:tcPr>
            <w:tcW w:w="1271" w:type="dxa"/>
            <w:shd w:val="clear" w:color="auto" w:fill="auto"/>
            <w:noWrap/>
            <w:hideMark/>
          </w:tcPr>
          <w:p w14:paraId="534E5182"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2.</w:t>
            </w:r>
          </w:p>
        </w:tc>
        <w:tc>
          <w:tcPr>
            <w:tcW w:w="1940" w:type="dxa"/>
            <w:shd w:val="clear" w:color="auto" w:fill="auto"/>
            <w:noWrap/>
            <w:hideMark/>
          </w:tcPr>
          <w:p w14:paraId="7E99DCE3"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OV-1520/2024</w:t>
            </w:r>
          </w:p>
        </w:tc>
        <w:tc>
          <w:tcPr>
            <w:tcW w:w="1606" w:type="dxa"/>
            <w:shd w:val="clear" w:color="auto" w:fill="auto"/>
            <w:noWrap/>
            <w:hideMark/>
          </w:tcPr>
          <w:p w14:paraId="6FBBE98C"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23.2.2024</w:t>
            </w:r>
          </w:p>
        </w:tc>
        <w:tc>
          <w:tcPr>
            <w:tcW w:w="1605" w:type="dxa"/>
            <w:shd w:val="clear" w:color="auto" w:fill="auto"/>
            <w:noWrap/>
            <w:hideMark/>
          </w:tcPr>
          <w:p w14:paraId="16FB8E15"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w:t>
            </w:r>
          </w:p>
        </w:tc>
        <w:tc>
          <w:tcPr>
            <w:tcW w:w="1606" w:type="dxa"/>
            <w:shd w:val="clear" w:color="auto" w:fill="auto"/>
            <w:hideMark/>
          </w:tcPr>
          <w:p w14:paraId="4B867699"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VINDIJA </w:t>
            </w:r>
            <w:proofErr w:type="spellStart"/>
            <w:r w:rsidRPr="0091507C">
              <w:rPr>
                <w:rFonts w:ascii="Cambria" w:hAnsi="Cambria"/>
                <w:sz w:val="20"/>
                <w:szCs w:val="20"/>
                <w:lang w:val="en-US" w:eastAsia="en-US"/>
              </w:rPr>
              <w:t>d.d.</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Varaždin</w:t>
            </w:r>
            <w:proofErr w:type="spellEnd"/>
          </w:p>
        </w:tc>
        <w:tc>
          <w:tcPr>
            <w:tcW w:w="1606" w:type="dxa"/>
            <w:shd w:val="clear" w:color="auto" w:fill="auto"/>
            <w:hideMark/>
          </w:tcPr>
          <w:p w14:paraId="0080A38D"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Grupa 3 - </w:t>
            </w:r>
            <w:proofErr w:type="spellStart"/>
            <w:r w:rsidRPr="0091507C">
              <w:rPr>
                <w:rFonts w:ascii="Cambria" w:hAnsi="Cambria"/>
                <w:sz w:val="20"/>
                <w:szCs w:val="20"/>
                <w:lang w:val="en-US" w:eastAsia="en-US"/>
              </w:rPr>
              <w:t>Svježa</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piletina</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puretina</w:t>
            </w:r>
            <w:proofErr w:type="spellEnd"/>
          </w:p>
        </w:tc>
      </w:tr>
      <w:tr w:rsidR="0091507C" w:rsidRPr="0091507C" w14:paraId="486F8908" w14:textId="77777777" w:rsidTr="00D5433B">
        <w:trPr>
          <w:trHeight w:val="694"/>
        </w:trPr>
        <w:tc>
          <w:tcPr>
            <w:tcW w:w="1271" w:type="dxa"/>
            <w:shd w:val="clear" w:color="auto" w:fill="auto"/>
            <w:noWrap/>
            <w:hideMark/>
          </w:tcPr>
          <w:p w14:paraId="77AAD367"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3.</w:t>
            </w:r>
          </w:p>
        </w:tc>
        <w:tc>
          <w:tcPr>
            <w:tcW w:w="1940" w:type="dxa"/>
            <w:shd w:val="clear" w:color="auto" w:fill="auto"/>
            <w:noWrap/>
            <w:hideMark/>
          </w:tcPr>
          <w:p w14:paraId="6F7D0D1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OV-2359/2024</w:t>
            </w:r>
          </w:p>
        </w:tc>
        <w:tc>
          <w:tcPr>
            <w:tcW w:w="1606" w:type="dxa"/>
            <w:shd w:val="clear" w:color="auto" w:fill="auto"/>
            <w:noWrap/>
            <w:hideMark/>
          </w:tcPr>
          <w:p w14:paraId="2B6C93DC"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11.4.2024</w:t>
            </w:r>
          </w:p>
        </w:tc>
        <w:tc>
          <w:tcPr>
            <w:tcW w:w="1605" w:type="dxa"/>
            <w:shd w:val="clear" w:color="auto" w:fill="auto"/>
            <w:noWrap/>
            <w:hideMark/>
          </w:tcPr>
          <w:p w14:paraId="7F712AAC"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2.000,00</w:t>
            </w:r>
          </w:p>
        </w:tc>
        <w:tc>
          <w:tcPr>
            <w:tcW w:w="1606" w:type="dxa"/>
            <w:shd w:val="clear" w:color="auto" w:fill="auto"/>
            <w:hideMark/>
          </w:tcPr>
          <w:p w14:paraId="337EFAD3"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RED FORK </w:t>
            </w:r>
            <w:proofErr w:type="spellStart"/>
            <w:r w:rsidRPr="0091507C">
              <w:rPr>
                <w:rFonts w:ascii="Cambria" w:hAnsi="Cambria"/>
                <w:sz w:val="20"/>
                <w:szCs w:val="20"/>
                <w:lang w:val="en-US" w:eastAsia="en-US"/>
              </w:rPr>
              <w:t>j.d.o.o</w:t>
            </w:r>
            <w:proofErr w:type="spellEnd"/>
            <w:r w:rsidRPr="0091507C">
              <w:rPr>
                <w:rFonts w:ascii="Cambria" w:hAnsi="Cambria"/>
                <w:sz w:val="20"/>
                <w:szCs w:val="20"/>
                <w:lang w:val="en-US" w:eastAsia="en-US"/>
              </w:rPr>
              <w:t>.</w:t>
            </w:r>
          </w:p>
        </w:tc>
        <w:tc>
          <w:tcPr>
            <w:tcW w:w="1606" w:type="dxa"/>
            <w:shd w:val="clear" w:color="auto" w:fill="auto"/>
            <w:hideMark/>
          </w:tcPr>
          <w:p w14:paraId="296951B0" w14:textId="77777777" w:rsidR="0091507C" w:rsidRPr="0091507C" w:rsidRDefault="0091507C" w:rsidP="0091507C">
            <w:pPr>
              <w:rPr>
                <w:rFonts w:ascii="Cambria" w:hAnsi="Cambria"/>
                <w:sz w:val="20"/>
                <w:szCs w:val="20"/>
                <w:lang w:val="en-US" w:eastAsia="en-US"/>
              </w:rPr>
            </w:pPr>
            <w:proofErr w:type="spellStart"/>
            <w:r w:rsidRPr="0091507C">
              <w:rPr>
                <w:rFonts w:ascii="Cambria" w:hAnsi="Cambria"/>
                <w:sz w:val="20"/>
                <w:szCs w:val="20"/>
                <w:lang w:val="en-US" w:eastAsia="en-US"/>
              </w:rPr>
              <w:t>implementacija</w:t>
            </w:r>
            <w:proofErr w:type="spellEnd"/>
            <w:r w:rsidRPr="0091507C">
              <w:rPr>
                <w:rFonts w:ascii="Cambria" w:hAnsi="Cambria"/>
                <w:sz w:val="20"/>
                <w:szCs w:val="20"/>
                <w:lang w:val="en-US" w:eastAsia="en-US"/>
              </w:rPr>
              <w:t xml:space="preserve"> Healthy Meal Standard</w:t>
            </w:r>
          </w:p>
        </w:tc>
      </w:tr>
      <w:tr w:rsidR="0091507C" w:rsidRPr="0091507C" w14:paraId="1E0D6A77" w14:textId="77777777" w:rsidTr="00D5433B">
        <w:trPr>
          <w:trHeight w:val="406"/>
        </w:trPr>
        <w:tc>
          <w:tcPr>
            <w:tcW w:w="1271" w:type="dxa"/>
            <w:shd w:val="clear" w:color="auto" w:fill="auto"/>
            <w:noWrap/>
          </w:tcPr>
          <w:p w14:paraId="79E8C54E"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4.</w:t>
            </w:r>
          </w:p>
        </w:tc>
        <w:tc>
          <w:tcPr>
            <w:tcW w:w="1940" w:type="dxa"/>
            <w:shd w:val="clear" w:color="auto" w:fill="auto"/>
            <w:noWrap/>
          </w:tcPr>
          <w:p w14:paraId="71E63386"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OV-45/2023</w:t>
            </w:r>
          </w:p>
        </w:tc>
        <w:tc>
          <w:tcPr>
            <w:tcW w:w="1606" w:type="dxa"/>
            <w:shd w:val="clear" w:color="auto" w:fill="auto"/>
            <w:noWrap/>
          </w:tcPr>
          <w:p w14:paraId="275394FE"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9.1.2023</w:t>
            </w:r>
          </w:p>
        </w:tc>
        <w:tc>
          <w:tcPr>
            <w:tcW w:w="1605" w:type="dxa"/>
            <w:shd w:val="clear" w:color="auto" w:fill="auto"/>
            <w:noWrap/>
          </w:tcPr>
          <w:p w14:paraId="4C878ABF"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10.000,00</w:t>
            </w:r>
          </w:p>
        </w:tc>
        <w:tc>
          <w:tcPr>
            <w:tcW w:w="1606" w:type="dxa"/>
            <w:shd w:val="clear" w:color="auto" w:fill="auto"/>
          </w:tcPr>
          <w:p w14:paraId="06E29D41"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Orange d.o.o.</w:t>
            </w:r>
          </w:p>
        </w:tc>
        <w:tc>
          <w:tcPr>
            <w:tcW w:w="1606" w:type="dxa"/>
            <w:shd w:val="clear" w:color="auto" w:fill="auto"/>
          </w:tcPr>
          <w:p w14:paraId="3EB76E40" w14:textId="77777777" w:rsidR="0091507C" w:rsidRPr="0091507C" w:rsidRDefault="0091507C" w:rsidP="0091507C">
            <w:pPr>
              <w:rPr>
                <w:rFonts w:ascii="Cambria" w:hAnsi="Cambria"/>
                <w:sz w:val="20"/>
                <w:szCs w:val="20"/>
                <w:lang w:val="en-US" w:eastAsia="en-US"/>
              </w:rPr>
            </w:pPr>
            <w:proofErr w:type="spellStart"/>
            <w:r w:rsidRPr="0091507C">
              <w:rPr>
                <w:rFonts w:ascii="Cambria" w:hAnsi="Cambria"/>
                <w:sz w:val="20"/>
                <w:szCs w:val="20"/>
                <w:lang w:val="en-US" w:eastAsia="en-US"/>
              </w:rPr>
              <w:t>Svježe</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voće</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povrće</w:t>
            </w:r>
            <w:proofErr w:type="spellEnd"/>
          </w:p>
        </w:tc>
      </w:tr>
      <w:tr w:rsidR="0091507C" w:rsidRPr="0091507C" w14:paraId="601B20D5" w14:textId="77777777" w:rsidTr="00D5433B">
        <w:trPr>
          <w:trHeight w:val="768"/>
        </w:trPr>
        <w:tc>
          <w:tcPr>
            <w:tcW w:w="1271" w:type="dxa"/>
            <w:shd w:val="clear" w:color="auto" w:fill="auto"/>
            <w:noWrap/>
          </w:tcPr>
          <w:p w14:paraId="03BA0936"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5.</w:t>
            </w:r>
          </w:p>
        </w:tc>
        <w:tc>
          <w:tcPr>
            <w:tcW w:w="1940" w:type="dxa"/>
            <w:shd w:val="clear" w:color="auto" w:fill="auto"/>
            <w:noWrap/>
          </w:tcPr>
          <w:p w14:paraId="13001604"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OV-4848/2024</w:t>
            </w:r>
          </w:p>
        </w:tc>
        <w:tc>
          <w:tcPr>
            <w:tcW w:w="1606" w:type="dxa"/>
            <w:shd w:val="clear" w:color="auto" w:fill="auto"/>
            <w:noWrap/>
          </w:tcPr>
          <w:p w14:paraId="0559502E"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8.5.2024</w:t>
            </w:r>
          </w:p>
        </w:tc>
        <w:tc>
          <w:tcPr>
            <w:tcW w:w="1605" w:type="dxa"/>
            <w:shd w:val="clear" w:color="auto" w:fill="auto"/>
            <w:noWrap/>
          </w:tcPr>
          <w:p w14:paraId="4E659514"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10.000,00</w:t>
            </w:r>
          </w:p>
        </w:tc>
        <w:tc>
          <w:tcPr>
            <w:tcW w:w="1606" w:type="dxa"/>
            <w:shd w:val="clear" w:color="auto" w:fill="auto"/>
          </w:tcPr>
          <w:p w14:paraId="2A150C17"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MESO-PRERADA MESA "KIŠ"</w:t>
            </w:r>
          </w:p>
        </w:tc>
        <w:tc>
          <w:tcPr>
            <w:tcW w:w="1606" w:type="dxa"/>
            <w:shd w:val="clear" w:color="auto" w:fill="auto"/>
          </w:tcPr>
          <w:p w14:paraId="047D9072" w14:textId="77777777" w:rsidR="0091507C" w:rsidRPr="0091507C" w:rsidRDefault="0091507C" w:rsidP="0091507C">
            <w:pPr>
              <w:rPr>
                <w:rFonts w:ascii="Cambria" w:hAnsi="Cambria"/>
                <w:sz w:val="20"/>
                <w:szCs w:val="20"/>
                <w:lang w:val="en-US" w:eastAsia="en-US"/>
              </w:rPr>
            </w:pPr>
            <w:proofErr w:type="spellStart"/>
            <w:r w:rsidRPr="0091507C">
              <w:rPr>
                <w:rFonts w:ascii="Cambria" w:hAnsi="Cambria"/>
                <w:sz w:val="20"/>
                <w:szCs w:val="20"/>
                <w:lang w:val="en-US" w:eastAsia="en-US"/>
              </w:rPr>
              <w:t>Meso</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mesni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proizvodi</w:t>
            </w:r>
            <w:proofErr w:type="spellEnd"/>
            <w:r w:rsidRPr="0091507C">
              <w:rPr>
                <w:rFonts w:ascii="Cambria" w:hAnsi="Cambria"/>
                <w:sz w:val="20"/>
                <w:szCs w:val="20"/>
                <w:lang w:val="en-US" w:eastAsia="en-US"/>
              </w:rPr>
              <w:t>, Grupa 1 i 2</w:t>
            </w:r>
          </w:p>
        </w:tc>
      </w:tr>
      <w:tr w:rsidR="0091507C" w:rsidRPr="0091507C" w14:paraId="18343842" w14:textId="77777777" w:rsidTr="00D5433B">
        <w:trPr>
          <w:trHeight w:val="553"/>
        </w:trPr>
        <w:tc>
          <w:tcPr>
            <w:tcW w:w="1271" w:type="dxa"/>
            <w:shd w:val="clear" w:color="auto" w:fill="auto"/>
            <w:noWrap/>
          </w:tcPr>
          <w:p w14:paraId="0BC766CC"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6.</w:t>
            </w:r>
          </w:p>
        </w:tc>
        <w:tc>
          <w:tcPr>
            <w:tcW w:w="1940" w:type="dxa"/>
            <w:shd w:val="clear" w:color="auto" w:fill="auto"/>
            <w:noWrap/>
          </w:tcPr>
          <w:p w14:paraId="7BBF444C"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OV-2663/2024</w:t>
            </w:r>
          </w:p>
        </w:tc>
        <w:tc>
          <w:tcPr>
            <w:tcW w:w="1606" w:type="dxa"/>
            <w:shd w:val="clear" w:color="auto" w:fill="auto"/>
            <w:noWrap/>
          </w:tcPr>
          <w:p w14:paraId="73AC0D8B"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24.5.2024</w:t>
            </w:r>
          </w:p>
        </w:tc>
        <w:tc>
          <w:tcPr>
            <w:tcW w:w="1605" w:type="dxa"/>
            <w:shd w:val="clear" w:color="auto" w:fill="auto"/>
            <w:noWrap/>
          </w:tcPr>
          <w:p w14:paraId="2A908A1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w:t>
            </w:r>
          </w:p>
        </w:tc>
        <w:tc>
          <w:tcPr>
            <w:tcW w:w="1606" w:type="dxa"/>
            <w:shd w:val="clear" w:color="auto" w:fill="auto"/>
          </w:tcPr>
          <w:p w14:paraId="060EE3FC"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Dukat </w:t>
            </w:r>
            <w:proofErr w:type="spellStart"/>
            <w:r w:rsidRPr="0091507C">
              <w:rPr>
                <w:rFonts w:ascii="Cambria" w:hAnsi="Cambria"/>
                <w:sz w:val="20"/>
                <w:szCs w:val="20"/>
                <w:lang w:val="en-US" w:eastAsia="en-US"/>
              </w:rPr>
              <w:t>d.d.</w:t>
            </w:r>
            <w:proofErr w:type="spellEnd"/>
          </w:p>
        </w:tc>
        <w:tc>
          <w:tcPr>
            <w:tcW w:w="1606" w:type="dxa"/>
            <w:shd w:val="clear" w:color="auto" w:fill="auto"/>
          </w:tcPr>
          <w:p w14:paraId="044CFA8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G1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G2 </w:t>
            </w:r>
            <w:proofErr w:type="spellStart"/>
            <w:r w:rsidRPr="0091507C">
              <w:rPr>
                <w:rFonts w:ascii="Cambria" w:hAnsi="Cambria"/>
                <w:sz w:val="20"/>
                <w:szCs w:val="20"/>
                <w:lang w:val="en-US" w:eastAsia="en-US"/>
              </w:rPr>
              <w:t>Mlijeko</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mliječni</w:t>
            </w:r>
            <w:proofErr w:type="spellEnd"/>
          </w:p>
        </w:tc>
      </w:tr>
      <w:tr w:rsidR="0091507C" w:rsidRPr="0091507C" w14:paraId="69F16E6F" w14:textId="77777777" w:rsidTr="00D5433B">
        <w:trPr>
          <w:trHeight w:val="561"/>
        </w:trPr>
        <w:tc>
          <w:tcPr>
            <w:tcW w:w="1271" w:type="dxa"/>
            <w:shd w:val="clear" w:color="auto" w:fill="auto"/>
            <w:noWrap/>
          </w:tcPr>
          <w:p w14:paraId="265EF154"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7.</w:t>
            </w:r>
          </w:p>
        </w:tc>
        <w:tc>
          <w:tcPr>
            <w:tcW w:w="1940" w:type="dxa"/>
            <w:shd w:val="clear" w:color="auto" w:fill="auto"/>
            <w:noWrap/>
          </w:tcPr>
          <w:p w14:paraId="235CE395"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OV-2664/2024</w:t>
            </w:r>
          </w:p>
        </w:tc>
        <w:tc>
          <w:tcPr>
            <w:tcW w:w="1606" w:type="dxa"/>
            <w:shd w:val="clear" w:color="auto" w:fill="auto"/>
            <w:noWrap/>
          </w:tcPr>
          <w:p w14:paraId="3D938A38"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24.5.2024</w:t>
            </w:r>
          </w:p>
        </w:tc>
        <w:tc>
          <w:tcPr>
            <w:tcW w:w="1605" w:type="dxa"/>
            <w:shd w:val="clear" w:color="auto" w:fill="auto"/>
            <w:noWrap/>
          </w:tcPr>
          <w:p w14:paraId="602A5DEF"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2.000,00</w:t>
            </w:r>
          </w:p>
        </w:tc>
        <w:tc>
          <w:tcPr>
            <w:tcW w:w="1606" w:type="dxa"/>
            <w:shd w:val="clear" w:color="auto" w:fill="auto"/>
          </w:tcPr>
          <w:p w14:paraId="546280A0"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Dukat </w:t>
            </w:r>
            <w:proofErr w:type="spellStart"/>
            <w:r w:rsidRPr="0091507C">
              <w:rPr>
                <w:rFonts w:ascii="Cambria" w:hAnsi="Cambria"/>
                <w:sz w:val="20"/>
                <w:szCs w:val="20"/>
                <w:lang w:val="en-US" w:eastAsia="en-US"/>
              </w:rPr>
              <w:t>d.d.</w:t>
            </w:r>
            <w:proofErr w:type="spellEnd"/>
          </w:p>
        </w:tc>
        <w:tc>
          <w:tcPr>
            <w:tcW w:w="1606" w:type="dxa"/>
            <w:shd w:val="clear" w:color="auto" w:fill="auto"/>
          </w:tcPr>
          <w:p w14:paraId="61ED5C0E"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G1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G2 </w:t>
            </w:r>
            <w:proofErr w:type="spellStart"/>
            <w:r w:rsidRPr="0091507C">
              <w:rPr>
                <w:rFonts w:ascii="Cambria" w:hAnsi="Cambria"/>
                <w:sz w:val="20"/>
                <w:szCs w:val="20"/>
                <w:lang w:val="en-US" w:eastAsia="en-US"/>
              </w:rPr>
              <w:t>Mlijeko</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mliječni</w:t>
            </w:r>
            <w:proofErr w:type="spellEnd"/>
          </w:p>
        </w:tc>
      </w:tr>
      <w:tr w:rsidR="0091507C" w:rsidRPr="0091507C" w14:paraId="00C1C0DD" w14:textId="77777777" w:rsidTr="00D5433B">
        <w:trPr>
          <w:trHeight w:val="658"/>
        </w:trPr>
        <w:tc>
          <w:tcPr>
            <w:tcW w:w="1271" w:type="dxa"/>
            <w:shd w:val="clear" w:color="auto" w:fill="auto"/>
            <w:noWrap/>
          </w:tcPr>
          <w:p w14:paraId="6E2680FF"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8.</w:t>
            </w:r>
          </w:p>
        </w:tc>
        <w:tc>
          <w:tcPr>
            <w:tcW w:w="1940" w:type="dxa"/>
            <w:shd w:val="clear" w:color="auto" w:fill="auto"/>
            <w:noWrap/>
          </w:tcPr>
          <w:p w14:paraId="562FAD52"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OV-1192/2024</w:t>
            </w:r>
          </w:p>
        </w:tc>
        <w:tc>
          <w:tcPr>
            <w:tcW w:w="1606" w:type="dxa"/>
            <w:shd w:val="clear" w:color="auto" w:fill="auto"/>
            <w:noWrap/>
          </w:tcPr>
          <w:p w14:paraId="7E191833"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1.3.2024</w:t>
            </w:r>
          </w:p>
        </w:tc>
        <w:tc>
          <w:tcPr>
            <w:tcW w:w="1605" w:type="dxa"/>
            <w:shd w:val="clear" w:color="auto" w:fill="auto"/>
            <w:noWrap/>
          </w:tcPr>
          <w:p w14:paraId="23C24E92"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w:t>
            </w:r>
          </w:p>
        </w:tc>
        <w:tc>
          <w:tcPr>
            <w:tcW w:w="1606" w:type="dxa"/>
            <w:shd w:val="clear" w:color="auto" w:fill="auto"/>
          </w:tcPr>
          <w:p w14:paraId="704CFC32"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Dukat </w:t>
            </w:r>
            <w:proofErr w:type="spellStart"/>
            <w:r w:rsidRPr="0091507C">
              <w:rPr>
                <w:rFonts w:ascii="Cambria" w:hAnsi="Cambria"/>
                <w:sz w:val="20"/>
                <w:szCs w:val="20"/>
                <w:lang w:val="en-US" w:eastAsia="en-US"/>
              </w:rPr>
              <w:t>d.d.</w:t>
            </w:r>
            <w:proofErr w:type="spellEnd"/>
          </w:p>
        </w:tc>
        <w:tc>
          <w:tcPr>
            <w:tcW w:w="1606" w:type="dxa"/>
            <w:shd w:val="clear" w:color="auto" w:fill="auto"/>
          </w:tcPr>
          <w:p w14:paraId="5473FD1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G1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G2 </w:t>
            </w:r>
            <w:proofErr w:type="spellStart"/>
            <w:r w:rsidRPr="0091507C">
              <w:rPr>
                <w:rFonts w:ascii="Cambria" w:hAnsi="Cambria"/>
                <w:sz w:val="20"/>
                <w:szCs w:val="20"/>
                <w:lang w:val="en-US" w:eastAsia="en-US"/>
              </w:rPr>
              <w:t>Mlijeko</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mliječni</w:t>
            </w:r>
            <w:proofErr w:type="spellEnd"/>
          </w:p>
        </w:tc>
      </w:tr>
      <w:tr w:rsidR="0091507C" w:rsidRPr="0091507C" w14:paraId="4D31D326" w14:textId="77777777" w:rsidTr="00D5433B">
        <w:trPr>
          <w:trHeight w:val="614"/>
        </w:trPr>
        <w:tc>
          <w:tcPr>
            <w:tcW w:w="1271" w:type="dxa"/>
            <w:shd w:val="clear" w:color="auto" w:fill="auto"/>
            <w:noWrap/>
          </w:tcPr>
          <w:p w14:paraId="24109FC6" w14:textId="77777777" w:rsidR="0091507C" w:rsidRPr="0091507C" w:rsidRDefault="0091507C" w:rsidP="0091507C">
            <w:pPr>
              <w:jc w:val="center"/>
              <w:rPr>
                <w:rFonts w:ascii="Cambria" w:hAnsi="Cambria" w:cs="Calibri"/>
                <w:b/>
                <w:bCs/>
                <w:color w:val="000000"/>
                <w:sz w:val="20"/>
                <w:szCs w:val="20"/>
              </w:rPr>
            </w:pPr>
            <w:r w:rsidRPr="0091507C">
              <w:rPr>
                <w:rFonts w:ascii="Cambria" w:hAnsi="Cambria" w:cs="Calibri"/>
                <w:b/>
                <w:bCs/>
                <w:color w:val="000000"/>
                <w:sz w:val="20"/>
                <w:szCs w:val="20"/>
              </w:rPr>
              <w:t>9.</w:t>
            </w:r>
          </w:p>
        </w:tc>
        <w:tc>
          <w:tcPr>
            <w:tcW w:w="1940" w:type="dxa"/>
            <w:shd w:val="clear" w:color="auto" w:fill="auto"/>
            <w:noWrap/>
          </w:tcPr>
          <w:p w14:paraId="2CCE3F55"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OV-1193/2024</w:t>
            </w:r>
          </w:p>
        </w:tc>
        <w:tc>
          <w:tcPr>
            <w:tcW w:w="1606" w:type="dxa"/>
            <w:shd w:val="clear" w:color="auto" w:fill="auto"/>
            <w:noWrap/>
          </w:tcPr>
          <w:p w14:paraId="7F605B08"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1.3.2024</w:t>
            </w:r>
          </w:p>
        </w:tc>
        <w:tc>
          <w:tcPr>
            <w:tcW w:w="1605" w:type="dxa"/>
            <w:shd w:val="clear" w:color="auto" w:fill="auto"/>
            <w:noWrap/>
          </w:tcPr>
          <w:p w14:paraId="2E913E7A"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1.000,00</w:t>
            </w:r>
          </w:p>
        </w:tc>
        <w:tc>
          <w:tcPr>
            <w:tcW w:w="1606" w:type="dxa"/>
            <w:shd w:val="clear" w:color="auto" w:fill="auto"/>
          </w:tcPr>
          <w:p w14:paraId="1516943B"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Dukat </w:t>
            </w:r>
            <w:proofErr w:type="spellStart"/>
            <w:r w:rsidRPr="0091507C">
              <w:rPr>
                <w:rFonts w:ascii="Cambria" w:hAnsi="Cambria"/>
                <w:sz w:val="20"/>
                <w:szCs w:val="20"/>
                <w:lang w:val="en-US" w:eastAsia="en-US"/>
              </w:rPr>
              <w:t>d.d.</w:t>
            </w:r>
            <w:proofErr w:type="spellEnd"/>
          </w:p>
        </w:tc>
        <w:tc>
          <w:tcPr>
            <w:tcW w:w="1606" w:type="dxa"/>
            <w:shd w:val="clear" w:color="auto" w:fill="auto"/>
          </w:tcPr>
          <w:p w14:paraId="1E4160F8" w14:textId="77777777" w:rsidR="0091507C" w:rsidRPr="0091507C" w:rsidRDefault="0091507C" w:rsidP="0091507C">
            <w:pPr>
              <w:rPr>
                <w:rFonts w:ascii="Cambria" w:hAnsi="Cambria"/>
                <w:sz w:val="20"/>
                <w:szCs w:val="20"/>
                <w:lang w:val="en-US" w:eastAsia="en-US"/>
              </w:rPr>
            </w:pPr>
            <w:r w:rsidRPr="0091507C">
              <w:rPr>
                <w:rFonts w:ascii="Cambria" w:hAnsi="Cambria"/>
                <w:sz w:val="20"/>
                <w:szCs w:val="20"/>
                <w:lang w:val="en-US" w:eastAsia="en-US"/>
              </w:rPr>
              <w:t xml:space="preserve">G1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G2 </w:t>
            </w:r>
            <w:proofErr w:type="spellStart"/>
            <w:r w:rsidRPr="0091507C">
              <w:rPr>
                <w:rFonts w:ascii="Cambria" w:hAnsi="Cambria"/>
                <w:sz w:val="20"/>
                <w:szCs w:val="20"/>
                <w:lang w:val="en-US" w:eastAsia="en-US"/>
              </w:rPr>
              <w:t>Mlijeko</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i</w:t>
            </w:r>
            <w:proofErr w:type="spellEnd"/>
            <w:r w:rsidRPr="0091507C">
              <w:rPr>
                <w:rFonts w:ascii="Cambria" w:hAnsi="Cambria"/>
                <w:sz w:val="20"/>
                <w:szCs w:val="20"/>
                <w:lang w:val="en-US" w:eastAsia="en-US"/>
              </w:rPr>
              <w:t xml:space="preserve"> </w:t>
            </w:r>
            <w:proofErr w:type="spellStart"/>
            <w:r w:rsidRPr="0091507C">
              <w:rPr>
                <w:rFonts w:ascii="Cambria" w:hAnsi="Cambria"/>
                <w:sz w:val="20"/>
                <w:szCs w:val="20"/>
                <w:lang w:val="en-US" w:eastAsia="en-US"/>
              </w:rPr>
              <w:t>mliječni</w:t>
            </w:r>
            <w:proofErr w:type="spellEnd"/>
          </w:p>
        </w:tc>
      </w:tr>
    </w:tbl>
    <w:p w14:paraId="519AE3B1" w14:textId="77777777" w:rsidR="0091507C" w:rsidRDefault="0091507C" w:rsidP="009C78F0">
      <w:pPr>
        <w:pStyle w:val="Tijeloteksta2"/>
        <w:jc w:val="both"/>
        <w:rPr>
          <w:rFonts w:ascii="Times New Roman" w:hAnsi="Times New Roman" w:cs="Times New Roman"/>
          <w:b/>
          <w:bCs/>
          <w:sz w:val="22"/>
          <w:szCs w:val="22"/>
          <w:lang w:eastAsia="en-US"/>
        </w:rPr>
      </w:pPr>
    </w:p>
    <w:p w14:paraId="1BCFE86E" w14:textId="7EFC12E0" w:rsidR="0091507C" w:rsidRPr="0091507C" w:rsidRDefault="0091507C" w:rsidP="0091507C">
      <w:pPr>
        <w:spacing w:after="200" w:line="276" w:lineRule="auto"/>
        <w:jc w:val="both"/>
        <w:rPr>
          <w:rFonts w:ascii="Arial" w:hAnsi="Arial" w:cs="Arial"/>
          <w:b/>
          <w:bCs/>
          <w:sz w:val="22"/>
          <w:szCs w:val="22"/>
        </w:rPr>
      </w:pPr>
      <w:r w:rsidRPr="0091507C">
        <w:rPr>
          <w:rFonts w:ascii="Arial" w:hAnsi="Arial" w:cs="Arial"/>
          <w:b/>
          <w:bCs/>
          <w:sz w:val="22"/>
          <w:szCs w:val="22"/>
        </w:rPr>
        <w:t>Zavod za javno zdravstvo</w:t>
      </w:r>
      <w:r>
        <w:rPr>
          <w:rFonts w:ascii="Arial" w:hAnsi="Arial" w:cs="Arial"/>
          <w:b/>
          <w:bCs/>
          <w:sz w:val="22"/>
          <w:szCs w:val="22"/>
        </w:rPr>
        <w:t xml:space="preserve"> – izdana jamstva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992"/>
        <w:gridCol w:w="850"/>
        <w:gridCol w:w="1134"/>
        <w:gridCol w:w="993"/>
        <w:gridCol w:w="992"/>
        <w:gridCol w:w="1417"/>
        <w:gridCol w:w="1134"/>
      </w:tblGrid>
      <w:tr w:rsidR="0091507C" w:rsidRPr="0091507C" w14:paraId="7A9CEF2F" w14:textId="77777777" w:rsidTr="00D5433B">
        <w:tc>
          <w:tcPr>
            <w:tcW w:w="558" w:type="dxa"/>
            <w:shd w:val="clear" w:color="auto" w:fill="auto"/>
            <w:vAlign w:val="center"/>
          </w:tcPr>
          <w:p w14:paraId="66F25805" w14:textId="77777777" w:rsidR="0091507C" w:rsidRPr="0091507C" w:rsidRDefault="0091507C" w:rsidP="0091507C">
            <w:pPr>
              <w:jc w:val="center"/>
              <w:rPr>
                <w:b/>
                <w:sz w:val="16"/>
                <w:szCs w:val="16"/>
                <w:lang w:eastAsia="en-US"/>
              </w:rPr>
            </w:pPr>
            <w:r w:rsidRPr="0091507C">
              <w:rPr>
                <w:b/>
                <w:sz w:val="16"/>
                <w:szCs w:val="16"/>
                <w:lang w:eastAsia="en-US"/>
              </w:rPr>
              <w:t>Red.br</w:t>
            </w:r>
          </w:p>
        </w:tc>
        <w:tc>
          <w:tcPr>
            <w:tcW w:w="1110" w:type="dxa"/>
            <w:shd w:val="clear" w:color="auto" w:fill="auto"/>
            <w:vAlign w:val="center"/>
          </w:tcPr>
          <w:p w14:paraId="7A279865" w14:textId="77777777" w:rsidR="0091507C" w:rsidRPr="0091507C" w:rsidRDefault="0091507C" w:rsidP="0091507C">
            <w:pPr>
              <w:jc w:val="center"/>
              <w:rPr>
                <w:b/>
                <w:sz w:val="16"/>
                <w:szCs w:val="16"/>
                <w:lang w:eastAsia="en-US"/>
              </w:rPr>
            </w:pPr>
            <w:r w:rsidRPr="0091507C">
              <w:rPr>
                <w:b/>
                <w:sz w:val="16"/>
                <w:szCs w:val="16"/>
                <w:lang w:eastAsia="en-US"/>
              </w:rPr>
              <w:t>Datum izdavanja jamstva</w:t>
            </w:r>
          </w:p>
        </w:tc>
        <w:tc>
          <w:tcPr>
            <w:tcW w:w="992" w:type="dxa"/>
            <w:shd w:val="clear" w:color="auto" w:fill="auto"/>
            <w:vAlign w:val="center"/>
          </w:tcPr>
          <w:p w14:paraId="5C0E6010" w14:textId="77777777" w:rsidR="0091507C" w:rsidRPr="0091507C" w:rsidRDefault="0091507C" w:rsidP="0091507C">
            <w:pPr>
              <w:jc w:val="center"/>
              <w:rPr>
                <w:b/>
                <w:sz w:val="16"/>
                <w:szCs w:val="16"/>
                <w:lang w:eastAsia="en-US"/>
              </w:rPr>
            </w:pPr>
            <w:r w:rsidRPr="0091507C">
              <w:rPr>
                <w:b/>
                <w:sz w:val="16"/>
                <w:szCs w:val="16"/>
                <w:lang w:eastAsia="en-US"/>
              </w:rPr>
              <w:t>Instrument osiguranja</w:t>
            </w:r>
          </w:p>
        </w:tc>
        <w:tc>
          <w:tcPr>
            <w:tcW w:w="850" w:type="dxa"/>
            <w:shd w:val="clear" w:color="auto" w:fill="auto"/>
            <w:vAlign w:val="center"/>
          </w:tcPr>
          <w:p w14:paraId="2E882BF1" w14:textId="77777777" w:rsidR="0091507C" w:rsidRPr="0091507C" w:rsidRDefault="0091507C" w:rsidP="0091507C">
            <w:pPr>
              <w:jc w:val="center"/>
              <w:rPr>
                <w:b/>
                <w:sz w:val="16"/>
                <w:szCs w:val="16"/>
                <w:lang w:eastAsia="en-US"/>
              </w:rPr>
            </w:pPr>
            <w:r w:rsidRPr="0091507C">
              <w:rPr>
                <w:b/>
                <w:sz w:val="16"/>
                <w:szCs w:val="16"/>
                <w:lang w:eastAsia="en-US"/>
              </w:rPr>
              <w:t>Iznos danog</w:t>
            </w:r>
          </w:p>
          <w:p w14:paraId="390A8622" w14:textId="77777777" w:rsidR="0091507C" w:rsidRPr="0091507C" w:rsidRDefault="0091507C" w:rsidP="0091507C">
            <w:pPr>
              <w:jc w:val="center"/>
              <w:rPr>
                <w:b/>
                <w:sz w:val="16"/>
                <w:szCs w:val="16"/>
                <w:lang w:eastAsia="en-US"/>
              </w:rPr>
            </w:pPr>
            <w:r w:rsidRPr="0091507C">
              <w:rPr>
                <w:b/>
                <w:sz w:val="16"/>
                <w:szCs w:val="16"/>
                <w:lang w:eastAsia="en-US"/>
              </w:rPr>
              <w:t>jamstva</w:t>
            </w:r>
          </w:p>
        </w:tc>
        <w:tc>
          <w:tcPr>
            <w:tcW w:w="1134" w:type="dxa"/>
            <w:shd w:val="clear" w:color="auto" w:fill="auto"/>
            <w:vAlign w:val="center"/>
          </w:tcPr>
          <w:p w14:paraId="63C88810" w14:textId="77777777" w:rsidR="0091507C" w:rsidRPr="0091507C" w:rsidRDefault="0091507C" w:rsidP="0091507C">
            <w:pPr>
              <w:jc w:val="center"/>
              <w:rPr>
                <w:b/>
                <w:sz w:val="16"/>
                <w:szCs w:val="16"/>
                <w:lang w:eastAsia="en-US"/>
              </w:rPr>
            </w:pPr>
            <w:r w:rsidRPr="0091507C">
              <w:rPr>
                <w:b/>
                <w:sz w:val="16"/>
                <w:szCs w:val="16"/>
                <w:lang w:eastAsia="en-US"/>
              </w:rPr>
              <w:t>Primatelj jamstva</w:t>
            </w:r>
          </w:p>
        </w:tc>
        <w:tc>
          <w:tcPr>
            <w:tcW w:w="993" w:type="dxa"/>
            <w:shd w:val="clear" w:color="auto" w:fill="auto"/>
            <w:vAlign w:val="center"/>
          </w:tcPr>
          <w:p w14:paraId="1F18B31E" w14:textId="77777777" w:rsidR="0091507C" w:rsidRPr="0091507C" w:rsidRDefault="0091507C" w:rsidP="0091507C">
            <w:pPr>
              <w:jc w:val="center"/>
              <w:rPr>
                <w:b/>
                <w:sz w:val="16"/>
                <w:szCs w:val="16"/>
                <w:lang w:eastAsia="en-US"/>
              </w:rPr>
            </w:pPr>
            <w:r w:rsidRPr="0091507C">
              <w:rPr>
                <w:b/>
                <w:sz w:val="16"/>
                <w:szCs w:val="16"/>
                <w:lang w:eastAsia="en-US"/>
              </w:rPr>
              <w:t>Namjena</w:t>
            </w:r>
          </w:p>
        </w:tc>
        <w:tc>
          <w:tcPr>
            <w:tcW w:w="992" w:type="dxa"/>
          </w:tcPr>
          <w:p w14:paraId="119C4F8E" w14:textId="77777777" w:rsidR="0091507C" w:rsidRPr="0091507C" w:rsidRDefault="0091507C" w:rsidP="0091507C">
            <w:pPr>
              <w:jc w:val="center"/>
              <w:rPr>
                <w:b/>
                <w:sz w:val="16"/>
                <w:szCs w:val="16"/>
                <w:lang w:eastAsia="en-US"/>
              </w:rPr>
            </w:pPr>
          </w:p>
          <w:p w14:paraId="34A4C344" w14:textId="77777777" w:rsidR="0091507C" w:rsidRPr="0091507C" w:rsidRDefault="0091507C" w:rsidP="0091507C">
            <w:pPr>
              <w:jc w:val="center"/>
              <w:rPr>
                <w:b/>
                <w:sz w:val="16"/>
                <w:szCs w:val="16"/>
                <w:lang w:eastAsia="en-US"/>
              </w:rPr>
            </w:pPr>
            <w:r w:rsidRPr="0091507C">
              <w:rPr>
                <w:b/>
                <w:sz w:val="16"/>
                <w:szCs w:val="16"/>
                <w:lang w:eastAsia="en-US"/>
              </w:rPr>
              <w:t>Broj</w:t>
            </w:r>
          </w:p>
          <w:p w14:paraId="2FE3E8E3" w14:textId="77777777" w:rsidR="0091507C" w:rsidRPr="0091507C" w:rsidRDefault="0091507C" w:rsidP="0091507C">
            <w:pPr>
              <w:jc w:val="center"/>
              <w:rPr>
                <w:b/>
                <w:sz w:val="16"/>
                <w:szCs w:val="16"/>
                <w:lang w:eastAsia="en-US"/>
              </w:rPr>
            </w:pPr>
            <w:r w:rsidRPr="0091507C">
              <w:rPr>
                <w:b/>
                <w:sz w:val="16"/>
                <w:szCs w:val="16"/>
                <w:lang w:eastAsia="en-US"/>
              </w:rPr>
              <w:t>ugovora</w:t>
            </w:r>
          </w:p>
        </w:tc>
        <w:tc>
          <w:tcPr>
            <w:tcW w:w="1417" w:type="dxa"/>
            <w:shd w:val="clear" w:color="auto" w:fill="auto"/>
            <w:vAlign w:val="center"/>
          </w:tcPr>
          <w:p w14:paraId="556A167E" w14:textId="77777777" w:rsidR="0091507C" w:rsidRPr="0091507C" w:rsidRDefault="0091507C" w:rsidP="0091507C">
            <w:pPr>
              <w:jc w:val="center"/>
              <w:rPr>
                <w:b/>
                <w:sz w:val="16"/>
                <w:szCs w:val="16"/>
                <w:lang w:eastAsia="en-US"/>
              </w:rPr>
            </w:pPr>
            <w:r w:rsidRPr="0091507C">
              <w:rPr>
                <w:b/>
                <w:sz w:val="16"/>
                <w:szCs w:val="16"/>
                <w:lang w:eastAsia="en-US"/>
              </w:rPr>
              <w:t>Predmet ugovora</w:t>
            </w:r>
          </w:p>
        </w:tc>
        <w:tc>
          <w:tcPr>
            <w:tcW w:w="1134" w:type="dxa"/>
            <w:shd w:val="clear" w:color="auto" w:fill="auto"/>
            <w:vAlign w:val="center"/>
          </w:tcPr>
          <w:p w14:paraId="61EDCB4B" w14:textId="77777777" w:rsidR="0091507C" w:rsidRPr="0091507C" w:rsidRDefault="0091507C" w:rsidP="0091507C">
            <w:pPr>
              <w:jc w:val="center"/>
              <w:rPr>
                <w:b/>
                <w:sz w:val="16"/>
                <w:szCs w:val="16"/>
                <w:lang w:eastAsia="en-US"/>
              </w:rPr>
            </w:pPr>
            <w:r w:rsidRPr="0091507C">
              <w:rPr>
                <w:b/>
                <w:sz w:val="16"/>
                <w:szCs w:val="16"/>
                <w:lang w:eastAsia="en-US"/>
              </w:rPr>
              <w:t>Rok važenja</w:t>
            </w:r>
          </w:p>
        </w:tc>
      </w:tr>
      <w:tr w:rsidR="0091507C" w:rsidRPr="0091507C" w14:paraId="736A324A" w14:textId="77777777" w:rsidTr="00D5433B">
        <w:tc>
          <w:tcPr>
            <w:tcW w:w="558" w:type="dxa"/>
            <w:shd w:val="clear" w:color="auto" w:fill="auto"/>
            <w:vAlign w:val="center"/>
          </w:tcPr>
          <w:p w14:paraId="7190D056" w14:textId="77777777" w:rsidR="0091507C" w:rsidRPr="0091507C" w:rsidRDefault="0091507C" w:rsidP="0091507C">
            <w:pPr>
              <w:jc w:val="center"/>
              <w:rPr>
                <w:sz w:val="16"/>
                <w:szCs w:val="16"/>
                <w:lang w:eastAsia="en-US"/>
              </w:rPr>
            </w:pPr>
            <w:r w:rsidRPr="0091507C">
              <w:rPr>
                <w:sz w:val="16"/>
                <w:szCs w:val="16"/>
                <w:lang w:eastAsia="en-US"/>
              </w:rPr>
              <w:t>1.</w:t>
            </w:r>
          </w:p>
        </w:tc>
        <w:tc>
          <w:tcPr>
            <w:tcW w:w="1110" w:type="dxa"/>
            <w:shd w:val="clear" w:color="auto" w:fill="auto"/>
            <w:vAlign w:val="center"/>
          </w:tcPr>
          <w:p w14:paraId="5B957398" w14:textId="77777777" w:rsidR="0091507C" w:rsidRPr="0091507C" w:rsidRDefault="0091507C" w:rsidP="0091507C">
            <w:pPr>
              <w:jc w:val="center"/>
              <w:rPr>
                <w:sz w:val="16"/>
                <w:szCs w:val="16"/>
                <w:lang w:eastAsia="en-US"/>
              </w:rPr>
            </w:pPr>
            <w:r w:rsidRPr="0091507C">
              <w:rPr>
                <w:sz w:val="16"/>
                <w:szCs w:val="16"/>
                <w:lang w:eastAsia="en-US"/>
              </w:rPr>
              <w:t>22.10.2024.</w:t>
            </w:r>
          </w:p>
        </w:tc>
        <w:tc>
          <w:tcPr>
            <w:tcW w:w="992" w:type="dxa"/>
            <w:shd w:val="clear" w:color="auto" w:fill="auto"/>
            <w:vAlign w:val="center"/>
          </w:tcPr>
          <w:p w14:paraId="0F806DE8" w14:textId="77777777" w:rsidR="0091507C" w:rsidRPr="0091507C" w:rsidRDefault="0091507C" w:rsidP="0091507C">
            <w:pPr>
              <w:jc w:val="center"/>
              <w:rPr>
                <w:sz w:val="16"/>
                <w:szCs w:val="16"/>
                <w:lang w:eastAsia="en-US"/>
              </w:rPr>
            </w:pPr>
            <w:r w:rsidRPr="0091507C">
              <w:rPr>
                <w:sz w:val="16"/>
                <w:szCs w:val="16"/>
                <w:lang w:eastAsia="en-US"/>
              </w:rPr>
              <w:t>Bjanko zadužnica OV-5425/2024</w:t>
            </w:r>
          </w:p>
        </w:tc>
        <w:tc>
          <w:tcPr>
            <w:tcW w:w="850" w:type="dxa"/>
            <w:shd w:val="clear" w:color="auto" w:fill="auto"/>
            <w:vAlign w:val="center"/>
          </w:tcPr>
          <w:p w14:paraId="4D050F08" w14:textId="77777777" w:rsidR="0091507C" w:rsidRPr="0091507C" w:rsidRDefault="0091507C" w:rsidP="0091507C">
            <w:pPr>
              <w:jc w:val="center"/>
              <w:rPr>
                <w:sz w:val="16"/>
                <w:szCs w:val="16"/>
                <w:lang w:eastAsia="en-US"/>
              </w:rPr>
            </w:pPr>
            <w:r w:rsidRPr="0091507C">
              <w:rPr>
                <w:sz w:val="16"/>
                <w:szCs w:val="16"/>
                <w:lang w:eastAsia="en-US"/>
              </w:rPr>
              <w:t>75.000</w:t>
            </w:r>
          </w:p>
        </w:tc>
        <w:tc>
          <w:tcPr>
            <w:tcW w:w="1134" w:type="dxa"/>
            <w:shd w:val="clear" w:color="auto" w:fill="auto"/>
            <w:vAlign w:val="center"/>
          </w:tcPr>
          <w:p w14:paraId="561E971F" w14:textId="77777777" w:rsidR="0091507C" w:rsidRPr="0091507C" w:rsidRDefault="0091507C" w:rsidP="0091507C">
            <w:pPr>
              <w:jc w:val="center"/>
              <w:rPr>
                <w:sz w:val="16"/>
                <w:szCs w:val="16"/>
                <w:lang w:eastAsia="en-US"/>
              </w:rPr>
            </w:pPr>
            <w:r w:rsidRPr="0091507C">
              <w:rPr>
                <w:sz w:val="16"/>
                <w:szCs w:val="16"/>
                <w:lang w:eastAsia="en-US"/>
              </w:rPr>
              <w:t>Ministarstvo zdravstva</w:t>
            </w:r>
          </w:p>
        </w:tc>
        <w:tc>
          <w:tcPr>
            <w:tcW w:w="993" w:type="dxa"/>
            <w:shd w:val="clear" w:color="auto" w:fill="auto"/>
            <w:vAlign w:val="center"/>
          </w:tcPr>
          <w:p w14:paraId="6E986BB5" w14:textId="77777777" w:rsidR="0091507C" w:rsidRPr="0091507C" w:rsidRDefault="0091507C" w:rsidP="0091507C">
            <w:pPr>
              <w:jc w:val="center"/>
              <w:rPr>
                <w:sz w:val="16"/>
                <w:szCs w:val="16"/>
                <w:lang w:eastAsia="en-US"/>
              </w:rPr>
            </w:pPr>
            <w:r w:rsidRPr="0091507C">
              <w:rPr>
                <w:sz w:val="16"/>
                <w:szCs w:val="16"/>
                <w:lang w:eastAsia="en-US"/>
              </w:rPr>
              <w:t>Ispunjenje ugovornih obveza</w:t>
            </w:r>
          </w:p>
        </w:tc>
        <w:tc>
          <w:tcPr>
            <w:tcW w:w="992" w:type="dxa"/>
          </w:tcPr>
          <w:p w14:paraId="6868EAB9" w14:textId="77777777" w:rsidR="0091507C" w:rsidRPr="0091507C" w:rsidRDefault="0091507C" w:rsidP="0091507C">
            <w:pPr>
              <w:jc w:val="center"/>
              <w:rPr>
                <w:sz w:val="16"/>
                <w:szCs w:val="16"/>
                <w:lang w:eastAsia="en-US"/>
              </w:rPr>
            </w:pPr>
            <w:r w:rsidRPr="0091507C">
              <w:rPr>
                <w:sz w:val="16"/>
                <w:szCs w:val="16"/>
                <w:lang w:eastAsia="en-US"/>
              </w:rPr>
              <w:t>Klasa:500-01/24-09/07</w:t>
            </w:r>
          </w:p>
          <w:p w14:paraId="1C01B1AC" w14:textId="77777777" w:rsidR="0091507C" w:rsidRPr="0091507C" w:rsidRDefault="0091507C" w:rsidP="0091507C">
            <w:pPr>
              <w:jc w:val="center"/>
              <w:rPr>
                <w:sz w:val="16"/>
                <w:szCs w:val="16"/>
                <w:lang w:eastAsia="en-US"/>
              </w:rPr>
            </w:pPr>
            <w:r w:rsidRPr="0091507C">
              <w:rPr>
                <w:sz w:val="16"/>
                <w:szCs w:val="16"/>
                <w:lang w:eastAsia="en-US"/>
              </w:rPr>
              <w:t>Urbroj:534-03-3-1/5-24-04</w:t>
            </w:r>
          </w:p>
        </w:tc>
        <w:tc>
          <w:tcPr>
            <w:tcW w:w="1417" w:type="dxa"/>
            <w:shd w:val="clear" w:color="auto" w:fill="auto"/>
            <w:vAlign w:val="center"/>
          </w:tcPr>
          <w:p w14:paraId="0809CDA2" w14:textId="77777777" w:rsidR="0091507C" w:rsidRPr="0091507C" w:rsidRDefault="0091507C" w:rsidP="0091507C">
            <w:pPr>
              <w:jc w:val="center"/>
              <w:rPr>
                <w:sz w:val="16"/>
                <w:szCs w:val="16"/>
                <w:lang w:eastAsia="en-US"/>
              </w:rPr>
            </w:pPr>
            <w:r w:rsidRPr="0091507C">
              <w:rPr>
                <w:sz w:val="16"/>
                <w:szCs w:val="16"/>
                <w:lang w:eastAsia="en-US"/>
              </w:rPr>
              <w:t>Ugovor o dodjeli financijskih sredstava za program „</w:t>
            </w:r>
            <w:proofErr w:type="spellStart"/>
            <w:r w:rsidRPr="0091507C">
              <w:rPr>
                <w:sz w:val="16"/>
                <w:szCs w:val="16"/>
                <w:lang w:eastAsia="en-US"/>
              </w:rPr>
              <w:t>Hote</w:t>
            </w:r>
            <w:proofErr w:type="spellEnd"/>
            <w:r w:rsidRPr="0091507C">
              <w:rPr>
                <w:sz w:val="16"/>
                <w:szCs w:val="16"/>
                <w:lang w:eastAsia="en-US"/>
              </w:rPr>
              <w:t xml:space="preserve"> v brege naše de ni jena ovisnost ne paše“</w:t>
            </w:r>
          </w:p>
        </w:tc>
        <w:tc>
          <w:tcPr>
            <w:tcW w:w="1134" w:type="dxa"/>
            <w:shd w:val="clear" w:color="auto" w:fill="auto"/>
            <w:vAlign w:val="center"/>
          </w:tcPr>
          <w:p w14:paraId="7B227187" w14:textId="77777777" w:rsidR="0091507C" w:rsidRPr="0091507C" w:rsidRDefault="0091507C" w:rsidP="0091507C">
            <w:pPr>
              <w:jc w:val="center"/>
              <w:rPr>
                <w:sz w:val="16"/>
                <w:szCs w:val="16"/>
                <w:lang w:eastAsia="en-US"/>
              </w:rPr>
            </w:pPr>
            <w:r w:rsidRPr="0091507C">
              <w:rPr>
                <w:sz w:val="16"/>
                <w:szCs w:val="16"/>
                <w:lang w:eastAsia="en-US"/>
              </w:rPr>
              <w:t>31.12.2024</w:t>
            </w:r>
          </w:p>
        </w:tc>
      </w:tr>
    </w:tbl>
    <w:p w14:paraId="46DB329C" w14:textId="77777777" w:rsidR="0091507C" w:rsidRDefault="0091507C" w:rsidP="009C78F0">
      <w:pPr>
        <w:pStyle w:val="Tijeloteksta2"/>
        <w:jc w:val="both"/>
        <w:rPr>
          <w:rFonts w:ascii="Times New Roman" w:hAnsi="Times New Roman" w:cs="Times New Roman"/>
          <w:b/>
          <w:bCs/>
          <w:sz w:val="22"/>
          <w:szCs w:val="22"/>
          <w:lang w:eastAsia="en-US"/>
        </w:rPr>
      </w:pPr>
    </w:p>
    <w:p w14:paraId="1D9467DD" w14:textId="77777777" w:rsidR="0091507C" w:rsidRDefault="0091507C" w:rsidP="009C78F0">
      <w:pPr>
        <w:pStyle w:val="Tijeloteksta2"/>
        <w:jc w:val="both"/>
        <w:rPr>
          <w:rFonts w:ascii="Times New Roman" w:hAnsi="Times New Roman" w:cs="Times New Roman"/>
          <w:b/>
          <w:bCs/>
          <w:sz w:val="22"/>
          <w:szCs w:val="22"/>
          <w:lang w:eastAsia="en-US"/>
        </w:rPr>
      </w:pPr>
    </w:p>
    <w:p w14:paraId="56FFF13E" w14:textId="34D675D9" w:rsidR="0091507C" w:rsidRDefault="0091507C" w:rsidP="009C78F0">
      <w:pPr>
        <w:pStyle w:val="Tijeloteksta2"/>
        <w:jc w:val="both"/>
        <w:rPr>
          <w:rFonts w:ascii="Times New Roman" w:hAnsi="Times New Roman" w:cs="Times New Roman"/>
          <w:b/>
          <w:bCs/>
          <w:sz w:val="22"/>
          <w:szCs w:val="22"/>
          <w:lang w:eastAsia="en-US"/>
        </w:rPr>
      </w:pPr>
      <w:r w:rsidRPr="0091507C">
        <w:rPr>
          <w:noProof/>
        </w:rPr>
        <w:lastRenderedPageBreak/>
        <w:drawing>
          <wp:inline distT="0" distB="0" distL="0" distR="0" wp14:anchorId="08EFB393" wp14:editId="656D800E">
            <wp:extent cx="5762625" cy="4890770"/>
            <wp:effectExtent l="0" t="0" r="9525" b="0"/>
            <wp:docPr id="65737457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2625" cy="4890770"/>
                    </a:xfrm>
                    <a:prstGeom prst="rect">
                      <a:avLst/>
                    </a:prstGeom>
                    <a:noFill/>
                    <a:ln>
                      <a:noFill/>
                    </a:ln>
                  </pic:spPr>
                </pic:pic>
              </a:graphicData>
            </a:graphic>
          </wp:inline>
        </w:drawing>
      </w:r>
    </w:p>
    <w:p w14:paraId="50BD932B" w14:textId="0D422265" w:rsidR="00CF1916" w:rsidRDefault="00CF1916">
      <w:pPr>
        <w:spacing w:after="160" w:line="259" w:lineRule="auto"/>
        <w:rPr>
          <w:b/>
          <w:bCs/>
          <w:sz w:val="22"/>
          <w:szCs w:val="22"/>
          <w:lang w:eastAsia="en-US"/>
        </w:rPr>
      </w:pPr>
      <w:r>
        <w:rPr>
          <w:b/>
          <w:bCs/>
          <w:sz w:val="22"/>
          <w:szCs w:val="22"/>
          <w:lang w:eastAsia="en-US"/>
        </w:rPr>
        <w:br w:type="page"/>
      </w:r>
    </w:p>
    <w:p w14:paraId="3D2E2B72" w14:textId="4034BD22" w:rsidR="0091507C" w:rsidRDefault="00CF1916" w:rsidP="009C78F0">
      <w:pPr>
        <w:pStyle w:val="Tijeloteksta2"/>
        <w:jc w:val="both"/>
        <w:rPr>
          <w:rFonts w:ascii="Times New Roman" w:hAnsi="Times New Roman" w:cs="Times New Roman"/>
          <w:b/>
          <w:bCs/>
          <w:sz w:val="22"/>
          <w:szCs w:val="22"/>
          <w:lang w:eastAsia="en-US"/>
        </w:rPr>
      </w:pPr>
      <w:r w:rsidRPr="00CF1916">
        <w:rPr>
          <w:rFonts w:ascii="Times New Roman" w:hAnsi="Times New Roman" w:cs="Times New Roman"/>
          <w:b/>
          <w:bCs/>
          <w:sz w:val="22"/>
          <w:szCs w:val="22"/>
          <w:lang w:eastAsia="en-US"/>
        </w:rPr>
        <w:lastRenderedPageBreak/>
        <w:t>Popis potencijalnih sporova proračunski korisnici – škole i muzej:</w:t>
      </w:r>
    </w:p>
    <w:p w14:paraId="7476CF7D" w14:textId="77777777" w:rsidR="00CF1916" w:rsidRDefault="00CF1916" w:rsidP="009C78F0">
      <w:pPr>
        <w:pStyle w:val="Tijeloteksta2"/>
        <w:jc w:val="both"/>
        <w:rPr>
          <w:rFonts w:ascii="Times New Roman" w:hAnsi="Times New Roman" w:cs="Times New Roman"/>
          <w:b/>
          <w:bCs/>
          <w:sz w:val="22"/>
          <w:szCs w:val="22"/>
          <w:lang w:eastAsia="en-US"/>
        </w:rPr>
      </w:pPr>
    </w:p>
    <w:p w14:paraId="14457AD2" w14:textId="733E5652" w:rsidR="002F25A8" w:rsidRDefault="0091507C" w:rsidP="002F25A8">
      <w:pPr>
        <w:rPr>
          <w:rFonts w:ascii="Arial" w:hAnsi="Arial" w:cs="Arial"/>
          <w:b/>
          <w:bCs/>
          <w:sz w:val="20"/>
          <w:szCs w:val="20"/>
        </w:rPr>
      </w:pPr>
      <w:r w:rsidRPr="0091507C">
        <w:rPr>
          <w:noProof/>
        </w:rPr>
        <w:drawing>
          <wp:inline distT="0" distB="0" distL="0" distR="0" wp14:anchorId="2242A0A6" wp14:editId="0EB1A868">
            <wp:extent cx="6119495" cy="6273800"/>
            <wp:effectExtent l="0" t="0" r="0" b="0"/>
            <wp:docPr id="207600876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9495" cy="6273800"/>
                    </a:xfrm>
                    <a:prstGeom prst="rect">
                      <a:avLst/>
                    </a:prstGeom>
                    <a:noFill/>
                    <a:ln>
                      <a:noFill/>
                    </a:ln>
                  </pic:spPr>
                </pic:pic>
              </a:graphicData>
            </a:graphic>
          </wp:inline>
        </w:drawing>
      </w:r>
    </w:p>
    <w:sectPr w:rsidR="002F25A8" w:rsidSect="007113C3">
      <w:pgSz w:w="11906" w:h="16838"/>
      <w:pgMar w:top="295" w:right="851" w:bottom="1701" w:left="1418"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3A76D" w14:textId="77777777" w:rsidR="00AC074F" w:rsidRDefault="00AC074F" w:rsidP="003B76D8">
      <w:r>
        <w:separator/>
      </w:r>
    </w:p>
  </w:endnote>
  <w:endnote w:type="continuationSeparator" w:id="0">
    <w:p w14:paraId="638C9EAA" w14:textId="77777777" w:rsidR="00AC074F" w:rsidRDefault="00AC074F" w:rsidP="003B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4394B" w14:textId="77777777" w:rsidR="00874E4B" w:rsidRDefault="00874E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D8B7" w14:textId="77777777" w:rsidR="0067282D" w:rsidRDefault="0067282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820E" w14:textId="77777777" w:rsidR="00874E4B" w:rsidRDefault="00874E4B">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7CD5" w14:textId="12246B18" w:rsidR="00D75EDE" w:rsidRDefault="00D75EDE">
    <w:pPr>
      <w:pStyle w:val="Podnoje"/>
      <w:jc w:val="right"/>
    </w:pPr>
  </w:p>
  <w:p w14:paraId="3B1E3894" w14:textId="77777777" w:rsidR="0059473A" w:rsidRDefault="0059473A" w:rsidP="0059473A">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E0612" w14:textId="77777777" w:rsidR="00AC074F" w:rsidRDefault="00AC074F" w:rsidP="003B76D8">
      <w:r>
        <w:separator/>
      </w:r>
    </w:p>
  </w:footnote>
  <w:footnote w:type="continuationSeparator" w:id="0">
    <w:p w14:paraId="02BD95C8" w14:textId="77777777" w:rsidR="00AC074F" w:rsidRDefault="00AC074F" w:rsidP="003B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0493" w14:textId="77777777" w:rsidR="00874E4B" w:rsidRDefault="00874E4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F6D1" w14:textId="77777777" w:rsidR="00874E4B" w:rsidRDefault="00874E4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291C" w14:textId="77777777" w:rsidR="00874E4B" w:rsidRDefault="00874E4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E3D"/>
    <w:multiLevelType w:val="hybridMultilevel"/>
    <w:tmpl w:val="05D66610"/>
    <w:lvl w:ilvl="0" w:tplc="7834F57A">
      <w:start w:val="1"/>
      <w:numFmt w:val="decimal"/>
      <w:lvlText w:val="%1."/>
      <w:lvlJc w:val="left"/>
      <w:pPr>
        <w:tabs>
          <w:tab w:val="num" w:pos="576"/>
        </w:tabs>
        <w:ind w:left="576" w:hanging="360"/>
      </w:pPr>
      <w:rPr>
        <w:rFonts w:hint="default"/>
      </w:rPr>
    </w:lvl>
    <w:lvl w:ilvl="1" w:tplc="1D664DA0">
      <w:start w:val="1"/>
      <w:numFmt w:val="bullet"/>
      <w:lvlText w:val=""/>
      <w:lvlJc w:val="left"/>
      <w:pPr>
        <w:tabs>
          <w:tab w:val="num" w:pos="1548"/>
        </w:tabs>
        <w:ind w:left="1548" w:hanging="360"/>
      </w:pPr>
      <w:rPr>
        <w:rFonts w:ascii="Wingdings" w:hAnsi="Wingdings" w:hint="default"/>
      </w:rPr>
    </w:lvl>
    <w:lvl w:ilvl="2" w:tplc="041A001B" w:tentative="1">
      <w:start w:val="1"/>
      <w:numFmt w:val="lowerRoman"/>
      <w:lvlText w:val="%3."/>
      <w:lvlJc w:val="right"/>
      <w:pPr>
        <w:tabs>
          <w:tab w:val="num" w:pos="2268"/>
        </w:tabs>
        <w:ind w:left="2268" w:hanging="180"/>
      </w:pPr>
    </w:lvl>
    <w:lvl w:ilvl="3" w:tplc="041A000F" w:tentative="1">
      <w:start w:val="1"/>
      <w:numFmt w:val="decimal"/>
      <w:lvlText w:val="%4."/>
      <w:lvlJc w:val="left"/>
      <w:pPr>
        <w:tabs>
          <w:tab w:val="num" w:pos="2988"/>
        </w:tabs>
        <w:ind w:left="2988" w:hanging="360"/>
      </w:pPr>
    </w:lvl>
    <w:lvl w:ilvl="4" w:tplc="041A0019" w:tentative="1">
      <w:start w:val="1"/>
      <w:numFmt w:val="lowerLetter"/>
      <w:lvlText w:val="%5."/>
      <w:lvlJc w:val="left"/>
      <w:pPr>
        <w:tabs>
          <w:tab w:val="num" w:pos="3708"/>
        </w:tabs>
        <w:ind w:left="3708" w:hanging="360"/>
      </w:pPr>
    </w:lvl>
    <w:lvl w:ilvl="5" w:tplc="041A001B" w:tentative="1">
      <w:start w:val="1"/>
      <w:numFmt w:val="lowerRoman"/>
      <w:lvlText w:val="%6."/>
      <w:lvlJc w:val="right"/>
      <w:pPr>
        <w:tabs>
          <w:tab w:val="num" w:pos="4428"/>
        </w:tabs>
        <w:ind w:left="4428" w:hanging="180"/>
      </w:pPr>
    </w:lvl>
    <w:lvl w:ilvl="6" w:tplc="041A000F" w:tentative="1">
      <w:start w:val="1"/>
      <w:numFmt w:val="decimal"/>
      <w:lvlText w:val="%7."/>
      <w:lvlJc w:val="left"/>
      <w:pPr>
        <w:tabs>
          <w:tab w:val="num" w:pos="5148"/>
        </w:tabs>
        <w:ind w:left="5148" w:hanging="360"/>
      </w:pPr>
    </w:lvl>
    <w:lvl w:ilvl="7" w:tplc="041A0019" w:tentative="1">
      <w:start w:val="1"/>
      <w:numFmt w:val="lowerLetter"/>
      <w:lvlText w:val="%8."/>
      <w:lvlJc w:val="left"/>
      <w:pPr>
        <w:tabs>
          <w:tab w:val="num" w:pos="5868"/>
        </w:tabs>
        <w:ind w:left="5868" w:hanging="360"/>
      </w:pPr>
    </w:lvl>
    <w:lvl w:ilvl="8" w:tplc="041A001B" w:tentative="1">
      <w:start w:val="1"/>
      <w:numFmt w:val="lowerRoman"/>
      <w:lvlText w:val="%9."/>
      <w:lvlJc w:val="right"/>
      <w:pPr>
        <w:tabs>
          <w:tab w:val="num" w:pos="6588"/>
        </w:tabs>
        <w:ind w:left="6588" w:hanging="180"/>
      </w:pPr>
    </w:lvl>
  </w:abstractNum>
  <w:abstractNum w:abstractNumId="1" w15:restartNumberingAfterBreak="0">
    <w:nsid w:val="01746695"/>
    <w:multiLevelType w:val="hybridMultilevel"/>
    <w:tmpl w:val="C88895A8"/>
    <w:lvl w:ilvl="0" w:tplc="83AAA79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1891850"/>
    <w:multiLevelType w:val="hybridMultilevel"/>
    <w:tmpl w:val="E312DE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36F13"/>
    <w:multiLevelType w:val="hybridMultilevel"/>
    <w:tmpl w:val="126E8746"/>
    <w:lvl w:ilvl="0" w:tplc="1506F106">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71F4151"/>
    <w:multiLevelType w:val="hybridMultilevel"/>
    <w:tmpl w:val="24AC320C"/>
    <w:lvl w:ilvl="0" w:tplc="145C72CA">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C53584D"/>
    <w:multiLevelType w:val="hybridMultilevel"/>
    <w:tmpl w:val="B224B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6D5A22"/>
    <w:multiLevelType w:val="hybridMultilevel"/>
    <w:tmpl w:val="CC403682"/>
    <w:lvl w:ilvl="0" w:tplc="14B4BD68">
      <w:start w:val="1"/>
      <w:numFmt w:val="decimal"/>
      <w:lvlText w:val="%1."/>
      <w:lvlJc w:val="left"/>
      <w:pPr>
        <w:ind w:left="1271" w:hanging="360"/>
      </w:pPr>
      <w:rPr>
        <w:rFonts w:hint="default"/>
      </w:rPr>
    </w:lvl>
    <w:lvl w:ilvl="1" w:tplc="041A0019" w:tentative="1">
      <w:start w:val="1"/>
      <w:numFmt w:val="lowerLetter"/>
      <w:lvlText w:val="%2."/>
      <w:lvlJc w:val="left"/>
      <w:pPr>
        <w:ind w:left="1991" w:hanging="360"/>
      </w:pPr>
    </w:lvl>
    <w:lvl w:ilvl="2" w:tplc="041A001B" w:tentative="1">
      <w:start w:val="1"/>
      <w:numFmt w:val="lowerRoman"/>
      <w:lvlText w:val="%3."/>
      <w:lvlJc w:val="right"/>
      <w:pPr>
        <w:ind w:left="2711" w:hanging="180"/>
      </w:pPr>
    </w:lvl>
    <w:lvl w:ilvl="3" w:tplc="041A000F" w:tentative="1">
      <w:start w:val="1"/>
      <w:numFmt w:val="decimal"/>
      <w:lvlText w:val="%4."/>
      <w:lvlJc w:val="left"/>
      <w:pPr>
        <w:ind w:left="3431" w:hanging="360"/>
      </w:pPr>
    </w:lvl>
    <w:lvl w:ilvl="4" w:tplc="041A0019" w:tentative="1">
      <w:start w:val="1"/>
      <w:numFmt w:val="lowerLetter"/>
      <w:lvlText w:val="%5."/>
      <w:lvlJc w:val="left"/>
      <w:pPr>
        <w:ind w:left="4151" w:hanging="360"/>
      </w:pPr>
    </w:lvl>
    <w:lvl w:ilvl="5" w:tplc="041A001B" w:tentative="1">
      <w:start w:val="1"/>
      <w:numFmt w:val="lowerRoman"/>
      <w:lvlText w:val="%6."/>
      <w:lvlJc w:val="right"/>
      <w:pPr>
        <w:ind w:left="4871" w:hanging="180"/>
      </w:pPr>
    </w:lvl>
    <w:lvl w:ilvl="6" w:tplc="041A000F" w:tentative="1">
      <w:start w:val="1"/>
      <w:numFmt w:val="decimal"/>
      <w:lvlText w:val="%7."/>
      <w:lvlJc w:val="left"/>
      <w:pPr>
        <w:ind w:left="5591" w:hanging="360"/>
      </w:pPr>
    </w:lvl>
    <w:lvl w:ilvl="7" w:tplc="041A0019" w:tentative="1">
      <w:start w:val="1"/>
      <w:numFmt w:val="lowerLetter"/>
      <w:lvlText w:val="%8."/>
      <w:lvlJc w:val="left"/>
      <w:pPr>
        <w:ind w:left="6311" w:hanging="360"/>
      </w:pPr>
    </w:lvl>
    <w:lvl w:ilvl="8" w:tplc="041A001B" w:tentative="1">
      <w:start w:val="1"/>
      <w:numFmt w:val="lowerRoman"/>
      <w:lvlText w:val="%9."/>
      <w:lvlJc w:val="right"/>
      <w:pPr>
        <w:ind w:left="7031" w:hanging="180"/>
      </w:pPr>
    </w:lvl>
  </w:abstractNum>
  <w:abstractNum w:abstractNumId="7" w15:restartNumberingAfterBreak="0">
    <w:nsid w:val="34FF5B06"/>
    <w:multiLevelType w:val="hybridMultilevel"/>
    <w:tmpl w:val="BC5EF4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54201E"/>
    <w:multiLevelType w:val="hybridMultilevel"/>
    <w:tmpl w:val="431CF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2E5E21"/>
    <w:multiLevelType w:val="hybridMultilevel"/>
    <w:tmpl w:val="58FE60A2"/>
    <w:lvl w:ilvl="0" w:tplc="AE5CB5C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3F7242C3"/>
    <w:multiLevelType w:val="hybridMultilevel"/>
    <w:tmpl w:val="F36AE2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38516EF"/>
    <w:multiLevelType w:val="hybridMultilevel"/>
    <w:tmpl w:val="C772F5C6"/>
    <w:lvl w:ilvl="0" w:tplc="0FE08B50">
      <w:start w:val="1"/>
      <w:numFmt w:val="decimal"/>
      <w:lvlText w:val="%1."/>
      <w:lvlJc w:val="left"/>
      <w:pPr>
        <w:ind w:left="468" w:hanging="360"/>
      </w:pPr>
      <w:rPr>
        <w:rFonts w:hint="default"/>
      </w:rPr>
    </w:lvl>
    <w:lvl w:ilvl="1" w:tplc="041A0019" w:tentative="1">
      <w:start w:val="1"/>
      <w:numFmt w:val="lowerLetter"/>
      <w:lvlText w:val="%2."/>
      <w:lvlJc w:val="left"/>
      <w:pPr>
        <w:ind w:left="1188" w:hanging="360"/>
      </w:pPr>
    </w:lvl>
    <w:lvl w:ilvl="2" w:tplc="041A001B" w:tentative="1">
      <w:start w:val="1"/>
      <w:numFmt w:val="lowerRoman"/>
      <w:lvlText w:val="%3."/>
      <w:lvlJc w:val="right"/>
      <w:pPr>
        <w:ind w:left="1908" w:hanging="180"/>
      </w:pPr>
    </w:lvl>
    <w:lvl w:ilvl="3" w:tplc="041A000F" w:tentative="1">
      <w:start w:val="1"/>
      <w:numFmt w:val="decimal"/>
      <w:lvlText w:val="%4."/>
      <w:lvlJc w:val="left"/>
      <w:pPr>
        <w:ind w:left="2628" w:hanging="360"/>
      </w:pPr>
    </w:lvl>
    <w:lvl w:ilvl="4" w:tplc="041A0019" w:tentative="1">
      <w:start w:val="1"/>
      <w:numFmt w:val="lowerLetter"/>
      <w:lvlText w:val="%5."/>
      <w:lvlJc w:val="left"/>
      <w:pPr>
        <w:ind w:left="3348" w:hanging="360"/>
      </w:pPr>
    </w:lvl>
    <w:lvl w:ilvl="5" w:tplc="041A001B" w:tentative="1">
      <w:start w:val="1"/>
      <w:numFmt w:val="lowerRoman"/>
      <w:lvlText w:val="%6."/>
      <w:lvlJc w:val="right"/>
      <w:pPr>
        <w:ind w:left="4068" w:hanging="180"/>
      </w:pPr>
    </w:lvl>
    <w:lvl w:ilvl="6" w:tplc="041A000F" w:tentative="1">
      <w:start w:val="1"/>
      <w:numFmt w:val="decimal"/>
      <w:lvlText w:val="%7."/>
      <w:lvlJc w:val="left"/>
      <w:pPr>
        <w:ind w:left="4788" w:hanging="360"/>
      </w:pPr>
    </w:lvl>
    <w:lvl w:ilvl="7" w:tplc="041A0019" w:tentative="1">
      <w:start w:val="1"/>
      <w:numFmt w:val="lowerLetter"/>
      <w:lvlText w:val="%8."/>
      <w:lvlJc w:val="left"/>
      <w:pPr>
        <w:ind w:left="5508" w:hanging="360"/>
      </w:pPr>
    </w:lvl>
    <w:lvl w:ilvl="8" w:tplc="041A001B" w:tentative="1">
      <w:start w:val="1"/>
      <w:numFmt w:val="lowerRoman"/>
      <w:lvlText w:val="%9."/>
      <w:lvlJc w:val="right"/>
      <w:pPr>
        <w:ind w:left="6228" w:hanging="180"/>
      </w:pPr>
    </w:lvl>
  </w:abstractNum>
  <w:abstractNum w:abstractNumId="12" w15:restartNumberingAfterBreak="0">
    <w:nsid w:val="4D9A507D"/>
    <w:multiLevelType w:val="hybridMultilevel"/>
    <w:tmpl w:val="4510D6B6"/>
    <w:lvl w:ilvl="0" w:tplc="145C72C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33872"/>
    <w:multiLevelType w:val="hybridMultilevel"/>
    <w:tmpl w:val="17463B28"/>
    <w:lvl w:ilvl="0" w:tplc="59F6859C">
      <w:start w:val="1"/>
      <w:numFmt w:val="bullet"/>
      <w:lvlText w:val="-"/>
      <w:lvlJc w:val="left"/>
      <w:pPr>
        <w:ind w:left="828" w:hanging="360"/>
      </w:pPr>
      <w:rPr>
        <w:rFonts w:ascii="Arial" w:eastAsia="Calibri" w:hAnsi="Arial" w:cs="Arial" w:hint="default"/>
      </w:rPr>
    </w:lvl>
    <w:lvl w:ilvl="1" w:tplc="041A0003" w:tentative="1">
      <w:start w:val="1"/>
      <w:numFmt w:val="bullet"/>
      <w:lvlText w:val="o"/>
      <w:lvlJc w:val="left"/>
      <w:pPr>
        <w:ind w:left="1548" w:hanging="360"/>
      </w:pPr>
      <w:rPr>
        <w:rFonts w:ascii="Courier New" w:hAnsi="Courier New" w:cs="Courier New" w:hint="default"/>
      </w:rPr>
    </w:lvl>
    <w:lvl w:ilvl="2" w:tplc="041A0005" w:tentative="1">
      <w:start w:val="1"/>
      <w:numFmt w:val="bullet"/>
      <w:lvlText w:val=""/>
      <w:lvlJc w:val="left"/>
      <w:pPr>
        <w:ind w:left="2268" w:hanging="360"/>
      </w:pPr>
      <w:rPr>
        <w:rFonts w:ascii="Wingdings" w:hAnsi="Wingdings" w:hint="default"/>
      </w:rPr>
    </w:lvl>
    <w:lvl w:ilvl="3" w:tplc="041A0001" w:tentative="1">
      <w:start w:val="1"/>
      <w:numFmt w:val="bullet"/>
      <w:lvlText w:val=""/>
      <w:lvlJc w:val="left"/>
      <w:pPr>
        <w:ind w:left="2988" w:hanging="360"/>
      </w:pPr>
      <w:rPr>
        <w:rFonts w:ascii="Symbol" w:hAnsi="Symbol" w:hint="default"/>
      </w:rPr>
    </w:lvl>
    <w:lvl w:ilvl="4" w:tplc="041A0003" w:tentative="1">
      <w:start w:val="1"/>
      <w:numFmt w:val="bullet"/>
      <w:lvlText w:val="o"/>
      <w:lvlJc w:val="left"/>
      <w:pPr>
        <w:ind w:left="3708" w:hanging="360"/>
      </w:pPr>
      <w:rPr>
        <w:rFonts w:ascii="Courier New" w:hAnsi="Courier New" w:cs="Courier New" w:hint="default"/>
      </w:rPr>
    </w:lvl>
    <w:lvl w:ilvl="5" w:tplc="041A0005" w:tentative="1">
      <w:start w:val="1"/>
      <w:numFmt w:val="bullet"/>
      <w:lvlText w:val=""/>
      <w:lvlJc w:val="left"/>
      <w:pPr>
        <w:ind w:left="4428" w:hanging="360"/>
      </w:pPr>
      <w:rPr>
        <w:rFonts w:ascii="Wingdings" w:hAnsi="Wingdings" w:hint="default"/>
      </w:rPr>
    </w:lvl>
    <w:lvl w:ilvl="6" w:tplc="041A0001" w:tentative="1">
      <w:start w:val="1"/>
      <w:numFmt w:val="bullet"/>
      <w:lvlText w:val=""/>
      <w:lvlJc w:val="left"/>
      <w:pPr>
        <w:ind w:left="5148" w:hanging="360"/>
      </w:pPr>
      <w:rPr>
        <w:rFonts w:ascii="Symbol" w:hAnsi="Symbol" w:hint="default"/>
      </w:rPr>
    </w:lvl>
    <w:lvl w:ilvl="7" w:tplc="041A0003" w:tentative="1">
      <w:start w:val="1"/>
      <w:numFmt w:val="bullet"/>
      <w:lvlText w:val="o"/>
      <w:lvlJc w:val="left"/>
      <w:pPr>
        <w:ind w:left="5868" w:hanging="360"/>
      </w:pPr>
      <w:rPr>
        <w:rFonts w:ascii="Courier New" w:hAnsi="Courier New" w:cs="Courier New" w:hint="default"/>
      </w:rPr>
    </w:lvl>
    <w:lvl w:ilvl="8" w:tplc="041A0005" w:tentative="1">
      <w:start w:val="1"/>
      <w:numFmt w:val="bullet"/>
      <w:lvlText w:val=""/>
      <w:lvlJc w:val="left"/>
      <w:pPr>
        <w:ind w:left="6588" w:hanging="360"/>
      </w:pPr>
      <w:rPr>
        <w:rFonts w:ascii="Wingdings" w:hAnsi="Wingdings" w:hint="default"/>
      </w:rPr>
    </w:lvl>
  </w:abstractNum>
  <w:abstractNum w:abstractNumId="14" w15:restartNumberingAfterBreak="0">
    <w:nsid w:val="500107F8"/>
    <w:multiLevelType w:val="multilevel"/>
    <w:tmpl w:val="7F16F720"/>
    <w:lvl w:ilvl="0">
      <w:start w:val="1"/>
      <w:numFmt w:val="decimal"/>
      <w:lvlText w:val="%1."/>
      <w:lvlJc w:val="left"/>
      <w:pPr>
        <w:ind w:left="1065" w:hanging="705"/>
      </w:pPr>
      <w:rPr>
        <w:rFonts w:hint="default"/>
      </w:rPr>
    </w:lvl>
    <w:lvl w:ilvl="1">
      <w:start w:val="1"/>
      <w:numFmt w:val="decimal"/>
      <w:isLgl/>
      <w:lvlText w:val="%1.%2."/>
      <w:lvlJc w:val="left"/>
      <w:pPr>
        <w:ind w:left="405" w:hanging="405"/>
      </w:pPr>
      <w:rPr>
        <w:rFonts w:hint="default"/>
        <w:sz w:val="24"/>
      </w:rPr>
    </w:lvl>
    <w:lvl w:ilvl="2">
      <w:start w:val="1"/>
      <w:numFmt w:val="decimal"/>
      <w:isLgl/>
      <w:lvlText w:val="%1.%2.%3."/>
      <w:lvlJc w:val="left"/>
      <w:pPr>
        <w:ind w:left="2490" w:hanging="720"/>
      </w:pPr>
      <w:rPr>
        <w:rFonts w:hint="default"/>
        <w:sz w:val="24"/>
      </w:rPr>
    </w:lvl>
    <w:lvl w:ilvl="3">
      <w:start w:val="1"/>
      <w:numFmt w:val="decimal"/>
      <w:isLgl/>
      <w:lvlText w:val="%1.%2.%3.%4."/>
      <w:lvlJc w:val="left"/>
      <w:pPr>
        <w:ind w:left="3195" w:hanging="720"/>
      </w:pPr>
      <w:rPr>
        <w:rFonts w:hint="default"/>
        <w:sz w:val="24"/>
      </w:rPr>
    </w:lvl>
    <w:lvl w:ilvl="4">
      <w:start w:val="1"/>
      <w:numFmt w:val="decimal"/>
      <w:isLgl/>
      <w:lvlText w:val="%1.%2.%3.%4.%5."/>
      <w:lvlJc w:val="left"/>
      <w:pPr>
        <w:ind w:left="4260" w:hanging="1080"/>
      </w:pPr>
      <w:rPr>
        <w:rFonts w:hint="default"/>
        <w:sz w:val="24"/>
      </w:rPr>
    </w:lvl>
    <w:lvl w:ilvl="5">
      <w:start w:val="1"/>
      <w:numFmt w:val="decimal"/>
      <w:isLgl/>
      <w:lvlText w:val="%1.%2.%3.%4.%5.%6."/>
      <w:lvlJc w:val="left"/>
      <w:pPr>
        <w:ind w:left="4965" w:hanging="1080"/>
      </w:pPr>
      <w:rPr>
        <w:rFonts w:hint="default"/>
        <w:sz w:val="24"/>
      </w:rPr>
    </w:lvl>
    <w:lvl w:ilvl="6">
      <w:start w:val="1"/>
      <w:numFmt w:val="decimal"/>
      <w:isLgl/>
      <w:lvlText w:val="%1.%2.%3.%4.%5.%6.%7."/>
      <w:lvlJc w:val="left"/>
      <w:pPr>
        <w:ind w:left="6030" w:hanging="1440"/>
      </w:pPr>
      <w:rPr>
        <w:rFonts w:hint="default"/>
        <w:sz w:val="24"/>
      </w:rPr>
    </w:lvl>
    <w:lvl w:ilvl="7">
      <w:start w:val="1"/>
      <w:numFmt w:val="decimal"/>
      <w:isLgl/>
      <w:lvlText w:val="%1.%2.%3.%4.%5.%6.%7.%8."/>
      <w:lvlJc w:val="left"/>
      <w:pPr>
        <w:ind w:left="6735" w:hanging="1440"/>
      </w:pPr>
      <w:rPr>
        <w:rFonts w:hint="default"/>
        <w:sz w:val="24"/>
      </w:rPr>
    </w:lvl>
    <w:lvl w:ilvl="8">
      <w:start w:val="1"/>
      <w:numFmt w:val="decimal"/>
      <w:isLgl/>
      <w:lvlText w:val="%1.%2.%3.%4.%5.%6.%7.%8.%9."/>
      <w:lvlJc w:val="left"/>
      <w:pPr>
        <w:ind w:left="7800" w:hanging="1800"/>
      </w:pPr>
      <w:rPr>
        <w:rFonts w:hint="default"/>
        <w:sz w:val="24"/>
      </w:rPr>
    </w:lvl>
  </w:abstractNum>
  <w:abstractNum w:abstractNumId="15" w15:restartNumberingAfterBreak="0">
    <w:nsid w:val="53AA6643"/>
    <w:multiLevelType w:val="hybridMultilevel"/>
    <w:tmpl w:val="B6C40F16"/>
    <w:lvl w:ilvl="0" w:tplc="145C72C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03689E"/>
    <w:multiLevelType w:val="hybridMultilevel"/>
    <w:tmpl w:val="6F4AE6FA"/>
    <w:lvl w:ilvl="0" w:tplc="145C72C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7153B9"/>
    <w:multiLevelType w:val="hybridMultilevel"/>
    <w:tmpl w:val="00BCA59C"/>
    <w:lvl w:ilvl="0" w:tplc="1F58E4C6">
      <w:start w:val="1"/>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61B94CF6"/>
    <w:multiLevelType w:val="hybridMultilevel"/>
    <w:tmpl w:val="33CC8796"/>
    <w:lvl w:ilvl="0" w:tplc="6E7E619C">
      <w:start w:val="1"/>
      <w:numFmt w:val="decimal"/>
      <w:lvlText w:val="%1."/>
      <w:lvlJc w:val="left"/>
      <w:pPr>
        <w:ind w:left="1080" w:hanging="360"/>
      </w:pPr>
      <w:rPr>
        <w:rFonts w:hint="default"/>
        <w:i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AFB7C5D"/>
    <w:multiLevelType w:val="hybridMultilevel"/>
    <w:tmpl w:val="D500DD08"/>
    <w:lvl w:ilvl="0" w:tplc="4D7050D0">
      <w:start w:val="1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DEB1843"/>
    <w:multiLevelType w:val="hybridMultilevel"/>
    <w:tmpl w:val="7EAAC7FE"/>
    <w:lvl w:ilvl="0" w:tplc="041A000F">
      <w:start w:val="1"/>
      <w:numFmt w:val="decimal"/>
      <w:lvlText w:val="%1."/>
      <w:lvlJc w:val="left"/>
      <w:pPr>
        <w:ind w:left="360"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72417D00"/>
    <w:multiLevelType w:val="hybridMultilevel"/>
    <w:tmpl w:val="39D62F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515BC2"/>
    <w:multiLevelType w:val="hybridMultilevel"/>
    <w:tmpl w:val="EA6A9838"/>
    <w:lvl w:ilvl="0" w:tplc="AF668202">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3" w15:restartNumberingAfterBreak="0">
    <w:nsid w:val="76AF66C8"/>
    <w:multiLevelType w:val="hybridMultilevel"/>
    <w:tmpl w:val="B224B0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17638279">
    <w:abstractNumId w:val="19"/>
  </w:num>
  <w:num w:numId="2" w16cid:durableId="160388559">
    <w:abstractNumId w:val="14"/>
  </w:num>
  <w:num w:numId="3" w16cid:durableId="434131534">
    <w:abstractNumId w:val="17"/>
  </w:num>
  <w:num w:numId="4" w16cid:durableId="1526140975">
    <w:abstractNumId w:val="0"/>
  </w:num>
  <w:num w:numId="5" w16cid:durableId="831138062">
    <w:abstractNumId w:val="4"/>
  </w:num>
  <w:num w:numId="6" w16cid:durableId="1893805463">
    <w:abstractNumId w:val="16"/>
  </w:num>
  <w:num w:numId="7" w16cid:durableId="1976060955">
    <w:abstractNumId w:val="6"/>
  </w:num>
  <w:num w:numId="8" w16cid:durableId="1380712902">
    <w:abstractNumId w:val="22"/>
  </w:num>
  <w:num w:numId="9" w16cid:durableId="796683702">
    <w:abstractNumId w:val="10"/>
  </w:num>
  <w:num w:numId="10" w16cid:durableId="2130780707">
    <w:abstractNumId w:val="2"/>
  </w:num>
  <w:num w:numId="11" w16cid:durableId="983699674">
    <w:abstractNumId w:val="18"/>
  </w:num>
  <w:num w:numId="12" w16cid:durableId="1380713186">
    <w:abstractNumId w:val="21"/>
  </w:num>
  <w:num w:numId="13" w16cid:durableId="1109812921">
    <w:abstractNumId w:val="23"/>
  </w:num>
  <w:num w:numId="14" w16cid:durableId="584148749">
    <w:abstractNumId w:val="5"/>
  </w:num>
  <w:num w:numId="15" w16cid:durableId="688339909">
    <w:abstractNumId w:val="12"/>
  </w:num>
  <w:num w:numId="16" w16cid:durableId="2112045839">
    <w:abstractNumId w:val="3"/>
  </w:num>
  <w:num w:numId="17" w16cid:durableId="2119715418">
    <w:abstractNumId w:val="13"/>
  </w:num>
  <w:num w:numId="18" w16cid:durableId="684984114">
    <w:abstractNumId w:val="11"/>
  </w:num>
  <w:num w:numId="19" w16cid:durableId="1277329095">
    <w:abstractNumId w:val="8"/>
  </w:num>
  <w:num w:numId="20" w16cid:durableId="1849295871">
    <w:abstractNumId w:val="7"/>
  </w:num>
  <w:num w:numId="21" w16cid:durableId="88933635">
    <w:abstractNumId w:val="20"/>
  </w:num>
  <w:num w:numId="22" w16cid:durableId="1064134597">
    <w:abstractNumId w:val="15"/>
  </w:num>
  <w:num w:numId="23" w16cid:durableId="4212832">
    <w:abstractNumId w:val="9"/>
  </w:num>
  <w:num w:numId="24" w16cid:durableId="1575892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D8"/>
    <w:rsid w:val="00000C9E"/>
    <w:rsid w:val="00003734"/>
    <w:rsid w:val="00004C97"/>
    <w:rsid w:val="00005439"/>
    <w:rsid w:val="000065B2"/>
    <w:rsid w:val="00007289"/>
    <w:rsid w:val="00010335"/>
    <w:rsid w:val="00020D16"/>
    <w:rsid w:val="000235F7"/>
    <w:rsid w:val="00025D3D"/>
    <w:rsid w:val="00025D86"/>
    <w:rsid w:val="000262EF"/>
    <w:rsid w:val="00030DCA"/>
    <w:rsid w:val="0003168F"/>
    <w:rsid w:val="0003259D"/>
    <w:rsid w:val="000334FD"/>
    <w:rsid w:val="000401C9"/>
    <w:rsid w:val="00040B33"/>
    <w:rsid w:val="000418FC"/>
    <w:rsid w:val="00041C0E"/>
    <w:rsid w:val="000434F7"/>
    <w:rsid w:val="0004781B"/>
    <w:rsid w:val="0005446B"/>
    <w:rsid w:val="00057680"/>
    <w:rsid w:val="00062491"/>
    <w:rsid w:val="00063E55"/>
    <w:rsid w:val="000669E2"/>
    <w:rsid w:val="00066E01"/>
    <w:rsid w:val="00066EBA"/>
    <w:rsid w:val="0006795C"/>
    <w:rsid w:val="00067F68"/>
    <w:rsid w:val="000735A4"/>
    <w:rsid w:val="00073923"/>
    <w:rsid w:val="00077836"/>
    <w:rsid w:val="00077E34"/>
    <w:rsid w:val="000801F9"/>
    <w:rsid w:val="0008563F"/>
    <w:rsid w:val="00091EF2"/>
    <w:rsid w:val="00092267"/>
    <w:rsid w:val="00092A65"/>
    <w:rsid w:val="000A1348"/>
    <w:rsid w:val="000A15BE"/>
    <w:rsid w:val="000A4B70"/>
    <w:rsid w:val="000B269B"/>
    <w:rsid w:val="000B304A"/>
    <w:rsid w:val="000B7C91"/>
    <w:rsid w:val="000C7FA1"/>
    <w:rsid w:val="000D213F"/>
    <w:rsid w:val="000D2D06"/>
    <w:rsid w:val="000D3F2B"/>
    <w:rsid w:val="000D44FB"/>
    <w:rsid w:val="000D4BC5"/>
    <w:rsid w:val="000D5DAB"/>
    <w:rsid w:val="000E1D87"/>
    <w:rsid w:val="000E3661"/>
    <w:rsid w:val="000E532A"/>
    <w:rsid w:val="000E552D"/>
    <w:rsid w:val="000E6B8C"/>
    <w:rsid w:val="000E6DB8"/>
    <w:rsid w:val="000E7D24"/>
    <w:rsid w:val="000F0423"/>
    <w:rsid w:val="000F3797"/>
    <w:rsid w:val="000F4450"/>
    <w:rsid w:val="000F5253"/>
    <w:rsid w:val="0010216B"/>
    <w:rsid w:val="0010293C"/>
    <w:rsid w:val="00110B56"/>
    <w:rsid w:val="00113CF8"/>
    <w:rsid w:val="0011404E"/>
    <w:rsid w:val="0011603F"/>
    <w:rsid w:val="00116279"/>
    <w:rsid w:val="00117B9F"/>
    <w:rsid w:val="0012133D"/>
    <w:rsid w:val="00122433"/>
    <w:rsid w:val="00125D51"/>
    <w:rsid w:val="0012760A"/>
    <w:rsid w:val="0013292D"/>
    <w:rsid w:val="00132F56"/>
    <w:rsid w:val="0013335C"/>
    <w:rsid w:val="00136BD6"/>
    <w:rsid w:val="00136F82"/>
    <w:rsid w:val="001406AD"/>
    <w:rsid w:val="00143152"/>
    <w:rsid w:val="0014745F"/>
    <w:rsid w:val="00152D77"/>
    <w:rsid w:val="00153618"/>
    <w:rsid w:val="001570BE"/>
    <w:rsid w:val="00161E48"/>
    <w:rsid w:val="0016248E"/>
    <w:rsid w:val="00167660"/>
    <w:rsid w:val="00167FB2"/>
    <w:rsid w:val="00171423"/>
    <w:rsid w:val="001724A1"/>
    <w:rsid w:val="001734D3"/>
    <w:rsid w:val="00173E7F"/>
    <w:rsid w:val="00174929"/>
    <w:rsid w:val="00175C0F"/>
    <w:rsid w:val="00175D74"/>
    <w:rsid w:val="001769B8"/>
    <w:rsid w:val="00176E6E"/>
    <w:rsid w:val="00177771"/>
    <w:rsid w:val="001829F4"/>
    <w:rsid w:val="00191A48"/>
    <w:rsid w:val="0019499E"/>
    <w:rsid w:val="00195582"/>
    <w:rsid w:val="0019634C"/>
    <w:rsid w:val="00197CFC"/>
    <w:rsid w:val="001A0D3E"/>
    <w:rsid w:val="001A247A"/>
    <w:rsid w:val="001A2578"/>
    <w:rsid w:val="001A33B9"/>
    <w:rsid w:val="001A3699"/>
    <w:rsid w:val="001A53E2"/>
    <w:rsid w:val="001B041F"/>
    <w:rsid w:val="001B603E"/>
    <w:rsid w:val="001B6208"/>
    <w:rsid w:val="001B6AA4"/>
    <w:rsid w:val="001C1A15"/>
    <w:rsid w:val="001C3A98"/>
    <w:rsid w:val="001C41DC"/>
    <w:rsid w:val="001C4290"/>
    <w:rsid w:val="001C4386"/>
    <w:rsid w:val="001C5421"/>
    <w:rsid w:val="001C5FFF"/>
    <w:rsid w:val="001C6E50"/>
    <w:rsid w:val="001D3E40"/>
    <w:rsid w:val="001D436A"/>
    <w:rsid w:val="001D6D9C"/>
    <w:rsid w:val="001D769A"/>
    <w:rsid w:val="001E03E6"/>
    <w:rsid w:val="001E12AB"/>
    <w:rsid w:val="001E2539"/>
    <w:rsid w:val="001E3768"/>
    <w:rsid w:val="001E5FB8"/>
    <w:rsid w:val="001E71CE"/>
    <w:rsid w:val="001F01A2"/>
    <w:rsid w:val="001F0311"/>
    <w:rsid w:val="001F0DD7"/>
    <w:rsid w:val="001F383C"/>
    <w:rsid w:val="00210E53"/>
    <w:rsid w:val="0021179E"/>
    <w:rsid w:val="00213DF8"/>
    <w:rsid w:val="00223C42"/>
    <w:rsid w:val="0022605E"/>
    <w:rsid w:val="002268B0"/>
    <w:rsid w:val="002270B0"/>
    <w:rsid w:val="00227602"/>
    <w:rsid w:val="00227F31"/>
    <w:rsid w:val="002319F5"/>
    <w:rsid w:val="00232F86"/>
    <w:rsid w:val="00235FBD"/>
    <w:rsid w:val="00236288"/>
    <w:rsid w:val="002413A2"/>
    <w:rsid w:val="0025076C"/>
    <w:rsid w:val="0025153E"/>
    <w:rsid w:val="0025165B"/>
    <w:rsid w:val="00251EA6"/>
    <w:rsid w:val="002554CF"/>
    <w:rsid w:val="00263E3B"/>
    <w:rsid w:val="00264C60"/>
    <w:rsid w:val="002758A1"/>
    <w:rsid w:val="00276884"/>
    <w:rsid w:val="00282789"/>
    <w:rsid w:val="00287286"/>
    <w:rsid w:val="002929B1"/>
    <w:rsid w:val="00293567"/>
    <w:rsid w:val="00293AEB"/>
    <w:rsid w:val="00293DB6"/>
    <w:rsid w:val="00295356"/>
    <w:rsid w:val="00296C27"/>
    <w:rsid w:val="00297EBA"/>
    <w:rsid w:val="002A4BC0"/>
    <w:rsid w:val="002A5FFA"/>
    <w:rsid w:val="002B19EE"/>
    <w:rsid w:val="002B2370"/>
    <w:rsid w:val="002B4038"/>
    <w:rsid w:val="002B456F"/>
    <w:rsid w:val="002B6A39"/>
    <w:rsid w:val="002B71DD"/>
    <w:rsid w:val="002C5131"/>
    <w:rsid w:val="002D0FFC"/>
    <w:rsid w:val="002D11D3"/>
    <w:rsid w:val="002D22A6"/>
    <w:rsid w:val="002D2329"/>
    <w:rsid w:val="002D247C"/>
    <w:rsid w:val="002D274B"/>
    <w:rsid w:val="002D2E76"/>
    <w:rsid w:val="002D34B2"/>
    <w:rsid w:val="002D4FF9"/>
    <w:rsid w:val="002D5DCC"/>
    <w:rsid w:val="002D7049"/>
    <w:rsid w:val="002E280A"/>
    <w:rsid w:val="002E3188"/>
    <w:rsid w:val="002E3ACC"/>
    <w:rsid w:val="002E6068"/>
    <w:rsid w:val="002F0F86"/>
    <w:rsid w:val="002F17E6"/>
    <w:rsid w:val="002F25A8"/>
    <w:rsid w:val="002F2CCB"/>
    <w:rsid w:val="002F2DF8"/>
    <w:rsid w:val="002F3793"/>
    <w:rsid w:val="002F7618"/>
    <w:rsid w:val="002F76C9"/>
    <w:rsid w:val="00300126"/>
    <w:rsid w:val="003001F4"/>
    <w:rsid w:val="00303798"/>
    <w:rsid w:val="00304AF6"/>
    <w:rsid w:val="0030529D"/>
    <w:rsid w:val="00310B86"/>
    <w:rsid w:val="00322AE0"/>
    <w:rsid w:val="0032378C"/>
    <w:rsid w:val="003304C1"/>
    <w:rsid w:val="00331802"/>
    <w:rsid w:val="00332908"/>
    <w:rsid w:val="00333A84"/>
    <w:rsid w:val="003402D6"/>
    <w:rsid w:val="00343306"/>
    <w:rsid w:val="00344AA4"/>
    <w:rsid w:val="00344C9F"/>
    <w:rsid w:val="00347966"/>
    <w:rsid w:val="00357694"/>
    <w:rsid w:val="00364C57"/>
    <w:rsid w:val="00365454"/>
    <w:rsid w:val="0037300A"/>
    <w:rsid w:val="00373288"/>
    <w:rsid w:val="003803F6"/>
    <w:rsid w:val="003808A3"/>
    <w:rsid w:val="003824A7"/>
    <w:rsid w:val="00382742"/>
    <w:rsid w:val="00383604"/>
    <w:rsid w:val="0038395B"/>
    <w:rsid w:val="00385B8D"/>
    <w:rsid w:val="00390EC6"/>
    <w:rsid w:val="00392841"/>
    <w:rsid w:val="00393B9D"/>
    <w:rsid w:val="00394331"/>
    <w:rsid w:val="00394A98"/>
    <w:rsid w:val="00396AC5"/>
    <w:rsid w:val="003972FD"/>
    <w:rsid w:val="003A1319"/>
    <w:rsid w:val="003B73C1"/>
    <w:rsid w:val="003B76D8"/>
    <w:rsid w:val="003C5376"/>
    <w:rsid w:val="003C7F17"/>
    <w:rsid w:val="003D10EC"/>
    <w:rsid w:val="003D157A"/>
    <w:rsid w:val="003D1AE6"/>
    <w:rsid w:val="003E07FE"/>
    <w:rsid w:val="003E1402"/>
    <w:rsid w:val="003E34D9"/>
    <w:rsid w:val="003E55D5"/>
    <w:rsid w:val="003F7D12"/>
    <w:rsid w:val="00410690"/>
    <w:rsid w:val="004155A0"/>
    <w:rsid w:val="00415913"/>
    <w:rsid w:val="00415C39"/>
    <w:rsid w:val="0041644E"/>
    <w:rsid w:val="00417F80"/>
    <w:rsid w:val="00420CAC"/>
    <w:rsid w:val="00423952"/>
    <w:rsid w:val="00423E61"/>
    <w:rsid w:val="00424156"/>
    <w:rsid w:val="00427C5D"/>
    <w:rsid w:val="004304CD"/>
    <w:rsid w:val="0043134C"/>
    <w:rsid w:val="00431ED4"/>
    <w:rsid w:val="004346E6"/>
    <w:rsid w:val="00435DE2"/>
    <w:rsid w:val="00436984"/>
    <w:rsid w:val="004374F6"/>
    <w:rsid w:val="00437D06"/>
    <w:rsid w:val="00437FC7"/>
    <w:rsid w:val="00441E37"/>
    <w:rsid w:val="00442824"/>
    <w:rsid w:val="004435CA"/>
    <w:rsid w:val="00445B51"/>
    <w:rsid w:val="004479D2"/>
    <w:rsid w:val="00460408"/>
    <w:rsid w:val="00460DE3"/>
    <w:rsid w:val="004624CE"/>
    <w:rsid w:val="00462D73"/>
    <w:rsid w:val="00463815"/>
    <w:rsid w:val="00464A1E"/>
    <w:rsid w:val="0046541C"/>
    <w:rsid w:val="00466DEE"/>
    <w:rsid w:val="00471BFF"/>
    <w:rsid w:val="00473513"/>
    <w:rsid w:val="00477D15"/>
    <w:rsid w:val="00484842"/>
    <w:rsid w:val="00485578"/>
    <w:rsid w:val="004866C2"/>
    <w:rsid w:val="004871B6"/>
    <w:rsid w:val="00492F5A"/>
    <w:rsid w:val="004A560A"/>
    <w:rsid w:val="004B44EF"/>
    <w:rsid w:val="004C3184"/>
    <w:rsid w:val="004C54F9"/>
    <w:rsid w:val="004C585A"/>
    <w:rsid w:val="004C643E"/>
    <w:rsid w:val="004C6F72"/>
    <w:rsid w:val="004D2F36"/>
    <w:rsid w:val="004D36AE"/>
    <w:rsid w:val="004D42E8"/>
    <w:rsid w:val="004D4E87"/>
    <w:rsid w:val="004D5B30"/>
    <w:rsid w:val="004E16DA"/>
    <w:rsid w:val="004F0C0D"/>
    <w:rsid w:val="004F21E7"/>
    <w:rsid w:val="004F407C"/>
    <w:rsid w:val="004F5D16"/>
    <w:rsid w:val="00500436"/>
    <w:rsid w:val="00503803"/>
    <w:rsid w:val="005043CC"/>
    <w:rsid w:val="0051673E"/>
    <w:rsid w:val="00522D20"/>
    <w:rsid w:val="00531DF5"/>
    <w:rsid w:val="00531ED7"/>
    <w:rsid w:val="0053228E"/>
    <w:rsid w:val="0054334C"/>
    <w:rsid w:val="005456D9"/>
    <w:rsid w:val="00551818"/>
    <w:rsid w:val="0055259C"/>
    <w:rsid w:val="0055297C"/>
    <w:rsid w:val="00556046"/>
    <w:rsid w:val="0055787A"/>
    <w:rsid w:val="00562438"/>
    <w:rsid w:val="00564DD9"/>
    <w:rsid w:val="00572254"/>
    <w:rsid w:val="00572771"/>
    <w:rsid w:val="005748A3"/>
    <w:rsid w:val="00577A2A"/>
    <w:rsid w:val="005868B3"/>
    <w:rsid w:val="00591EC8"/>
    <w:rsid w:val="0059288F"/>
    <w:rsid w:val="0059473A"/>
    <w:rsid w:val="00595773"/>
    <w:rsid w:val="00597FF9"/>
    <w:rsid w:val="005A0F4D"/>
    <w:rsid w:val="005A243C"/>
    <w:rsid w:val="005A272A"/>
    <w:rsid w:val="005A363D"/>
    <w:rsid w:val="005A3C54"/>
    <w:rsid w:val="005A4AD8"/>
    <w:rsid w:val="005A59BB"/>
    <w:rsid w:val="005A6CA7"/>
    <w:rsid w:val="005B076A"/>
    <w:rsid w:val="005B1925"/>
    <w:rsid w:val="005B5DB0"/>
    <w:rsid w:val="005C29F7"/>
    <w:rsid w:val="005C6A9C"/>
    <w:rsid w:val="005D06B6"/>
    <w:rsid w:val="005D3139"/>
    <w:rsid w:val="005D56C1"/>
    <w:rsid w:val="005D5D53"/>
    <w:rsid w:val="005D7A6A"/>
    <w:rsid w:val="005D7AC2"/>
    <w:rsid w:val="005E08C0"/>
    <w:rsid w:val="005E1FFD"/>
    <w:rsid w:val="005E3AB6"/>
    <w:rsid w:val="005E77BA"/>
    <w:rsid w:val="005F0439"/>
    <w:rsid w:val="005F6188"/>
    <w:rsid w:val="0060140D"/>
    <w:rsid w:val="0060342D"/>
    <w:rsid w:val="006041AD"/>
    <w:rsid w:val="00604F17"/>
    <w:rsid w:val="00605EC6"/>
    <w:rsid w:val="00606CB8"/>
    <w:rsid w:val="00607308"/>
    <w:rsid w:val="00610852"/>
    <w:rsid w:val="006226F4"/>
    <w:rsid w:val="0062287E"/>
    <w:rsid w:val="006267DD"/>
    <w:rsid w:val="00626C58"/>
    <w:rsid w:val="00627933"/>
    <w:rsid w:val="00627CAE"/>
    <w:rsid w:val="0063241F"/>
    <w:rsid w:val="00633228"/>
    <w:rsid w:val="00635A48"/>
    <w:rsid w:val="006512FB"/>
    <w:rsid w:val="00651F20"/>
    <w:rsid w:val="0065322B"/>
    <w:rsid w:val="006678DE"/>
    <w:rsid w:val="0067282D"/>
    <w:rsid w:val="006759B8"/>
    <w:rsid w:val="006769C5"/>
    <w:rsid w:val="00677613"/>
    <w:rsid w:val="00684376"/>
    <w:rsid w:val="00686DCB"/>
    <w:rsid w:val="00687355"/>
    <w:rsid w:val="006931BE"/>
    <w:rsid w:val="006936B1"/>
    <w:rsid w:val="006A4B43"/>
    <w:rsid w:val="006A60B8"/>
    <w:rsid w:val="006A61ED"/>
    <w:rsid w:val="006A7D81"/>
    <w:rsid w:val="006B14B6"/>
    <w:rsid w:val="006C2320"/>
    <w:rsid w:val="006C2C66"/>
    <w:rsid w:val="006C5687"/>
    <w:rsid w:val="006C7293"/>
    <w:rsid w:val="006D4800"/>
    <w:rsid w:val="006D6C12"/>
    <w:rsid w:val="006E1FA9"/>
    <w:rsid w:val="006E5C1C"/>
    <w:rsid w:val="006E6EEE"/>
    <w:rsid w:val="006F62E1"/>
    <w:rsid w:val="006F79C7"/>
    <w:rsid w:val="00700B2A"/>
    <w:rsid w:val="00701EF9"/>
    <w:rsid w:val="007113C3"/>
    <w:rsid w:val="00711D8D"/>
    <w:rsid w:val="00711F60"/>
    <w:rsid w:val="00715884"/>
    <w:rsid w:val="007226C9"/>
    <w:rsid w:val="00724DE8"/>
    <w:rsid w:val="007262DF"/>
    <w:rsid w:val="00733C22"/>
    <w:rsid w:val="00735CD5"/>
    <w:rsid w:val="007365B6"/>
    <w:rsid w:val="007379CC"/>
    <w:rsid w:val="00740D1D"/>
    <w:rsid w:val="00742367"/>
    <w:rsid w:val="0074305C"/>
    <w:rsid w:val="00745C89"/>
    <w:rsid w:val="00746E3E"/>
    <w:rsid w:val="00747769"/>
    <w:rsid w:val="00754998"/>
    <w:rsid w:val="00754F89"/>
    <w:rsid w:val="00761C81"/>
    <w:rsid w:val="00763F81"/>
    <w:rsid w:val="007879DC"/>
    <w:rsid w:val="00792F3C"/>
    <w:rsid w:val="00794332"/>
    <w:rsid w:val="007958B0"/>
    <w:rsid w:val="007A4540"/>
    <w:rsid w:val="007A6FF7"/>
    <w:rsid w:val="007A744B"/>
    <w:rsid w:val="007B003C"/>
    <w:rsid w:val="007B6728"/>
    <w:rsid w:val="007C228B"/>
    <w:rsid w:val="007C3AE9"/>
    <w:rsid w:val="007C6C64"/>
    <w:rsid w:val="007D21B1"/>
    <w:rsid w:val="007D26BB"/>
    <w:rsid w:val="007D505C"/>
    <w:rsid w:val="007E1F48"/>
    <w:rsid w:val="007F59D5"/>
    <w:rsid w:val="00800BF8"/>
    <w:rsid w:val="008070E6"/>
    <w:rsid w:val="00813D9D"/>
    <w:rsid w:val="00815538"/>
    <w:rsid w:val="008166F8"/>
    <w:rsid w:val="00816C49"/>
    <w:rsid w:val="00820596"/>
    <w:rsid w:val="00820ED2"/>
    <w:rsid w:val="008240EC"/>
    <w:rsid w:val="008274D8"/>
    <w:rsid w:val="00831A32"/>
    <w:rsid w:val="008333F8"/>
    <w:rsid w:val="0083499A"/>
    <w:rsid w:val="00835663"/>
    <w:rsid w:val="00837F09"/>
    <w:rsid w:val="00841205"/>
    <w:rsid w:val="00841614"/>
    <w:rsid w:val="00842FDC"/>
    <w:rsid w:val="008452F1"/>
    <w:rsid w:val="008503A6"/>
    <w:rsid w:val="00853D82"/>
    <w:rsid w:val="0085777F"/>
    <w:rsid w:val="008600C2"/>
    <w:rsid w:val="00861D4D"/>
    <w:rsid w:val="0087111E"/>
    <w:rsid w:val="0087403C"/>
    <w:rsid w:val="00874E4B"/>
    <w:rsid w:val="0087517E"/>
    <w:rsid w:val="00877AB1"/>
    <w:rsid w:val="008805ED"/>
    <w:rsid w:val="0088479D"/>
    <w:rsid w:val="008851DB"/>
    <w:rsid w:val="008906CE"/>
    <w:rsid w:val="00890781"/>
    <w:rsid w:val="00892061"/>
    <w:rsid w:val="00896F64"/>
    <w:rsid w:val="008A2BC6"/>
    <w:rsid w:val="008A6F2B"/>
    <w:rsid w:val="008A72B7"/>
    <w:rsid w:val="008B1F18"/>
    <w:rsid w:val="008B2817"/>
    <w:rsid w:val="008B587C"/>
    <w:rsid w:val="008B5B0E"/>
    <w:rsid w:val="008B723E"/>
    <w:rsid w:val="008C116C"/>
    <w:rsid w:val="008C36C3"/>
    <w:rsid w:val="008C65AE"/>
    <w:rsid w:val="008D18C4"/>
    <w:rsid w:val="008D2DC9"/>
    <w:rsid w:val="008D38C9"/>
    <w:rsid w:val="008E3BB5"/>
    <w:rsid w:val="008E3EB5"/>
    <w:rsid w:val="008E77F5"/>
    <w:rsid w:val="008F056A"/>
    <w:rsid w:val="008F1429"/>
    <w:rsid w:val="008F1C98"/>
    <w:rsid w:val="008F22B8"/>
    <w:rsid w:val="008F2C48"/>
    <w:rsid w:val="008F33B2"/>
    <w:rsid w:val="008F73E7"/>
    <w:rsid w:val="00902640"/>
    <w:rsid w:val="009064B1"/>
    <w:rsid w:val="00911002"/>
    <w:rsid w:val="00911903"/>
    <w:rsid w:val="0091507C"/>
    <w:rsid w:val="00920891"/>
    <w:rsid w:val="00921B6F"/>
    <w:rsid w:val="00925D45"/>
    <w:rsid w:val="00930B33"/>
    <w:rsid w:val="00931C3B"/>
    <w:rsid w:val="0093725E"/>
    <w:rsid w:val="0093796A"/>
    <w:rsid w:val="00942CAA"/>
    <w:rsid w:val="00943931"/>
    <w:rsid w:val="00943E9C"/>
    <w:rsid w:val="00945F2A"/>
    <w:rsid w:val="00951F7B"/>
    <w:rsid w:val="00952DCF"/>
    <w:rsid w:val="009550C4"/>
    <w:rsid w:val="009566C7"/>
    <w:rsid w:val="00960947"/>
    <w:rsid w:val="0096133E"/>
    <w:rsid w:val="009627E9"/>
    <w:rsid w:val="009642E5"/>
    <w:rsid w:val="00964A75"/>
    <w:rsid w:val="00965AB2"/>
    <w:rsid w:val="00974527"/>
    <w:rsid w:val="00974A26"/>
    <w:rsid w:val="0097503B"/>
    <w:rsid w:val="00977B16"/>
    <w:rsid w:val="00981191"/>
    <w:rsid w:val="00985981"/>
    <w:rsid w:val="0099591F"/>
    <w:rsid w:val="00995EB3"/>
    <w:rsid w:val="00997846"/>
    <w:rsid w:val="009A00FF"/>
    <w:rsid w:val="009A47DC"/>
    <w:rsid w:val="009A65DC"/>
    <w:rsid w:val="009A68FA"/>
    <w:rsid w:val="009A756E"/>
    <w:rsid w:val="009A7A73"/>
    <w:rsid w:val="009C0BE5"/>
    <w:rsid w:val="009C1E62"/>
    <w:rsid w:val="009C4977"/>
    <w:rsid w:val="009C4D8F"/>
    <w:rsid w:val="009C600F"/>
    <w:rsid w:val="009C76E4"/>
    <w:rsid w:val="009C78F0"/>
    <w:rsid w:val="009D2CB3"/>
    <w:rsid w:val="009E5CF2"/>
    <w:rsid w:val="009E730C"/>
    <w:rsid w:val="009F21E2"/>
    <w:rsid w:val="009F5263"/>
    <w:rsid w:val="009F6D81"/>
    <w:rsid w:val="00A0042E"/>
    <w:rsid w:val="00A0241F"/>
    <w:rsid w:val="00A03C90"/>
    <w:rsid w:val="00A10842"/>
    <w:rsid w:val="00A1172F"/>
    <w:rsid w:val="00A11CC3"/>
    <w:rsid w:val="00A13A4E"/>
    <w:rsid w:val="00A15416"/>
    <w:rsid w:val="00A207BF"/>
    <w:rsid w:val="00A236B3"/>
    <w:rsid w:val="00A25448"/>
    <w:rsid w:val="00A41DA6"/>
    <w:rsid w:val="00A45394"/>
    <w:rsid w:val="00A46573"/>
    <w:rsid w:val="00A471C7"/>
    <w:rsid w:val="00A51003"/>
    <w:rsid w:val="00A53D14"/>
    <w:rsid w:val="00A562E1"/>
    <w:rsid w:val="00A57A5D"/>
    <w:rsid w:val="00A63FA2"/>
    <w:rsid w:val="00A70198"/>
    <w:rsid w:val="00A723A3"/>
    <w:rsid w:val="00A72A49"/>
    <w:rsid w:val="00A744F0"/>
    <w:rsid w:val="00A77A2B"/>
    <w:rsid w:val="00A863A8"/>
    <w:rsid w:val="00AA0B06"/>
    <w:rsid w:val="00AA1EA7"/>
    <w:rsid w:val="00AA3E70"/>
    <w:rsid w:val="00AA4EF8"/>
    <w:rsid w:val="00AA6A02"/>
    <w:rsid w:val="00AA7057"/>
    <w:rsid w:val="00AA79D6"/>
    <w:rsid w:val="00AB06D4"/>
    <w:rsid w:val="00AB0B40"/>
    <w:rsid w:val="00AB7F1D"/>
    <w:rsid w:val="00AC074F"/>
    <w:rsid w:val="00AC22AF"/>
    <w:rsid w:val="00AC2962"/>
    <w:rsid w:val="00AC5866"/>
    <w:rsid w:val="00AD323F"/>
    <w:rsid w:val="00AD5CBA"/>
    <w:rsid w:val="00AD63BF"/>
    <w:rsid w:val="00AE0B07"/>
    <w:rsid w:val="00AE2D4C"/>
    <w:rsid w:val="00AE331D"/>
    <w:rsid w:val="00AE3719"/>
    <w:rsid w:val="00AE6138"/>
    <w:rsid w:val="00AF1C32"/>
    <w:rsid w:val="00AF2091"/>
    <w:rsid w:val="00AF5DAC"/>
    <w:rsid w:val="00AF7F8C"/>
    <w:rsid w:val="00B021CE"/>
    <w:rsid w:val="00B0401D"/>
    <w:rsid w:val="00B0431D"/>
    <w:rsid w:val="00B06985"/>
    <w:rsid w:val="00B103F3"/>
    <w:rsid w:val="00B13110"/>
    <w:rsid w:val="00B15E9A"/>
    <w:rsid w:val="00B207F0"/>
    <w:rsid w:val="00B2626A"/>
    <w:rsid w:val="00B266B3"/>
    <w:rsid w:val="00B32FDF"/>
    <w:rsid w:val="00B40B2F"/>
    <w:rsid w:val="00B40C4D"/>
    <w:rsid w:val="00B41595"/>
    <w:rsid w:val="00B43149"/>
    <w:rsid w:val="00B43A83"/>
    <w:rsid w:val="00B55EA6"/>
    <w:rsid w:val="00B55F4B"/>
    <w:rsid w:val="00B57BA6"/>
    <w:rsid w:val="00B57C41"/>
    <w:rsid w:val="00B6659C"/>
    <w:rsid w:val="00B66D4A"/>
    <w:rsid w:val="00B72454"/>
    <w:rsid w:val="00B72D2A"/>
    <w:rsid w:val="00B74F3F"/>
    <w:rsid w:val="00B776CF"/>
    <w:rsid w:val="00B8540F"/>
    <w:rsid w:val="00B87826"/>
    <w:rsid w:val="00B94AF3"/>
    <w:rsid w:val="00B961F8"/>
    <w:rsid w:val="00B964EE"/>
    <w:rsid w:val="00BA19A0"/>
    <w:rsid w:val="00BA19B8"/>
    <w:rsid w:val="00BA3063"/>
    <w:rsid w:val="00BA4029"/>
    <w:rsid w:val="00BA407C"/>
    <w:rsid w:val="00BA7264"/>
    <w:rsid w:val="00BA7E27"/>
    <w:rsid w:val="00BB3D04"/>
    <w:rsid w:val="00BB42F2"/>
    <w:rsid w:val="00BB4357"/>
    <w:rsid w:val="00BB4502"/>
    <w:rsid w:val="00BB5555"/>
    <w:rsid w:val="00BC03FA"/>
    <w:rsid w:val="00BC1AA5"/>
    <w:rsid w:val="00BC243A"/>
    <w:rsid w:val="00BC3A1A"/>
    <w:rsid w:val="00BC580E"/>
    <w:rsid w:val="00BC5BBB"/>
    <w:rsid w:val="00BC7E1E"/>
    <w:rsid w:val="00BD0A65"/>
    <w:rsid w:val="00BD285A"/>
    <w:rsid w:val="00BD4BA5"/>
    <w:rsid w:val="00BD6A59"/>
    <w:rsid w:val="00BD73A8"/>
    <w:rsid w:val="00BD7F9D"/>
    <w:rsid w:val="00BE008F"/>
    <w:rsid w:val="00BE2193"/>
    <w:rsid w:val="00BE48E4"/>
    <w:rsid w:val="00BE4B4B"/>
    <w:rsid w:val="00BE5B11"/>
    <w:rsid w:val="00BE6588"/>
    <w:rsid w:val="00BE6B41"/>
    <w:rsid w:val="00C01F2D"/>
    <w:rsid w:val="00C04E8A"/>
    <w:rsid w:val="00C05422"/>
    <w:rsid w:val="00C05548"/>
    <w:rsid w:val="00C05975"/>
    <w:rsid w:val="00C13932"/>
    <w:rsid w:val="00C13CAD"/>
    <w:rsid w:val="00C13DBC"/>
    <w:rsid w:val="00C1487E"/>
    <w:rsid w:val="00C14CE3"/>
    <w:rsid w:val="00C14DD9"/>
    <w:rsid w:val="00C1560A"/>
    <w:rsid w:val="00C15714"/>
    <w:rsid w:val="00C207F5"/>
    <w:rsid w:val="00C20A2C"/>
    <w:rsid w:val="00C2351D"/>
    <w:rsid w:val="00C23FED"/>
    <w:rsid w:val="00C24FFD"/>
    <w:rsid w:val="00C27879"/>
    <w:rsid w:val="00C30542"/>
    <w:rsid w:val="00C34959"/>
    <w:rsid w:val="00C37289"/>
    <w:rsid w:val="00C4045C"/>
    <w:rsid w:val="00C43032"/>
    <w:rsid w:val="00C53248"/>
    <w:rsid w:val="00C54AF6"/>
    <w:rsid w:val="00C56F68"/>
    <w:rsid w:val="00C60F7E"/>
    <w:rsid w:val="00C61FB9"/>
    <w:rsid w:val="00C64F82"/>
    <w:rsid w:val="00C6639D"/>
    <w:rsid w:val="00C67963"/>
    <w:rsid w:val="00C736FA"/>
    <w:rsid w:val="00C74830"/>
    <w:rsid w:val="00C76DEB"/>
    <w:rsid w:val="00C804EF"/>
    <w:rsid w:val="00C804F3"/>
    <w:rsid w:val="00C90E22"/>
    <w:rsid w:val="00C91A37"/>
    <w:rsid w:val="00C936D9"/>
    <w:rsid w:val="00C949BC"/>
    <w:rsid w:val="00C9595C"/>
    <w:rsid w:val="00C97760"/>
    <w:rsid w:val="00CA05AB"/>
    <w:rsid w:val="00CA2AE5"/>
    <w:rsid w:val="00CA2BC3"/>
    <w:rsid w:val="00CA6EE1"/>
    <w:rsid w:val="00CB2A5F"/>
    <w:rsid w:val="00CB463C"/>
    <w:rsid w:val="00CB4F40"/>
    <w:rsid w:val="00CB6F19"/>
    <w:rsid w:val="00CB6F63"/>
    <w:rsid w:val="00CC15BC"/>
    <w:rsid w:val="00CC2243"/>
    <w:rsid w:val="00CC2AA1"/>
    <w:rsid w:val="00CC60EA"/>
    <w:rsid w:val="00CD3B8A"/>
    <w:rsid w:val="00CD464F"/>
    <w:rsid w:val="00CD76E9"/>
    <w:rsid w:val="00CD78C5"/>
    <w:rsid w:val="00CE0F42"/>
    <w:rsid w:val="00CE2EFB"/>
    <w:rsid w:val="00CE3AEA"/>
    <w:rsid w:val="00CE584E"/>
    <w:rsid w:val="00CE5AEC"/>
    <w:rsid w:val="00CF1916"/>
    <w:rsid w:val="00CF2D3D"/>
    <w:rsid w:val="00CF3CAC"/>
    <w:rsid w:val="00D03013"/>
    <w:rsid w:val="00D11F3C"/>
    <w:rsid w:val="00D12618"/>
    <w:rsid w:val="00D134F9"/>
    <w:rsid w:val="00D14104"/>
    <w:rsid w:val="00D27D16"/>
    <w:rsid w:val="00D322DC"/>
    <w:rsid w:val="00D343DF"/>
    <w:rsid w:val="00D356B7"/>
    <w:rsid w:val="00D361BB"/>
    <w:rsid w:val="00D3661C"/>
    <w:rsid w:val="00D36A6C"/>
    <w:rsid w:val="00D37609"/>
    <w:rsid w:val="00D37F0D"/>
    <w:rsid w:val="00D40064"/>
    <w:rsid w:val="00D40358"/>
    <w:rsid w:val="00D439F2"/>
    <w:rsid w:val="00D443A6"/>
    <w:rsid w:val="00D4568E"/>
    <w:rsid w:val="00D51A5D"/>
    <w:rsid w:val="00D52A6C"/>
    <w:rsid w:val="00D55FC0"/>
    <w:rsid w:val="00D56761"/>
    <w:rsid w:val="00D572D0"/>
    <w:rsid w:val="00D57460"/>
    <w:rsid w:val="00D6398E"/>
    <w:rsid w:val="00D6545A"/>
    <w:rsid w:val="00D71347"/>
    <w:rsid w:val="00D721AA"/>
    <w:rsid w:val="00D74C48"/>
    <w:rsid w:val="00D75EDE"/>
    <w:rsid w:val="00D761C2"/>
    <w:rsid w:val="00D76533"/>
    <w:rsid w:val="00D8501D"/>
    <w:rsid w:val="00D91094"/>
    <w:rsid w:val="00D957CB"/>
    <w:rsid w:val="00D960F4"/>
    <w:rsid w:val="00D979AC"/>
    <w:rsid w:val="00DA1A34"/>
    <w:rsid w:val="00DA2952"/>
    <w:rsid w:val="00DA72EF"/>
    <w:rsid w:val="00DA7357"/>
    <w:rsid w:val="00DB05F0"/>
    <w:rsid w:val="00DC0CDD"/>
    <w:rsid w:val="00DC1EDF"/>
    <w:rsid w:val="00DC4139"/>
    <w:rsid w:val="00DC7AFE"/>
    <w:rsid w:val="00DD3DE7"/>
    <w:rsid w:val="00DD5134"/>
    <w:rsid w:val="00DD5F2D"/>
    <w:rsid w:val="00DE1684"/>
    <w:rsid w:val="00DE44EA"/>
    <w:rsid w:val="00DF26BF"/>
    <w:rsid w:val="00DF3E16"/>
    <w:rsid w:val="00DF4376"/>
    <w:rsid w:val="00DF4E3E"/>
    <w:rsid w:val="00E02C74"/>
    <w:rsid w:val="00E030F8"/>
    <w:rsid w:val="00E0578C"/>
    <w:rsid w:val="00E122E7"/>
    <w:rsid w:val="00E234E4"/>
    <w:rsid w:val="00E27B04"/>
    <w:rsid w:val="00E34F29"/>
    <w:rsid w:val="00E409CE"/>
    <w:rsid w:val="00E4718D"/>
    <w:rsid w:val="00E473E7"/>
    <w:rsid w:val="00E56148"/>
    <w:rsid w:val="00E61267"/>
    <w:rsid w:val="00E77439"/>
    <w:rsid w:val="00E82160"/>
    <w:rsid w:val="00E867D0"/>
    <w:rsid w:val="00E905E5"/>
    <w:rsid w:val="00E9182C"/>
    <w:rsid w:val="00E9437C"/>
    <w:rsid w:val="00E94B69"/>
    <w:rsid w:val="00EA6121"/>
    <w:rsid w:val="00EB0814"/>
    <w:rsid w:val="00EB19B4"/>
    <w:rsid w:val="00EB79B3"/>
    <w:rsid w:val="00EC0F14"/>
    <w:rsid w:val="00EC1116"/>
    <w:rsid w:val="00EC2B99"/>
    <w:rsid w:val="00EC523F"/>
    <w:rsid w:val="00EC7EE8"/>
    <w:rsid w:val="00ED0BA3"/>
    <w:rsid w:val="00ED1082"/>
    <w:rsid w:val="00ED546C"/>
    <w:rsid w:val="00ED5B56"/>
    <w:rsid w:val="00ED65EB"/>
    <w:rsid w:val="00EE30C3"/>
    <w:rsid w:val="00EE6DF6"/>
    <w:rsid w:val="00EF4E5C"/>
    <w:rsid w:val="00EF6222"/>
    <w:rsid w:val="00EF7C94"/>
    <w:rsid w:val="00F03828"/>
    <w:rsid w:val="00F05E46"/>
    <w:rsid w:val="00F06880"/>
    <w:rsid w:val="00F105F5"/>
    <w:rsid w:val="00F12049"/>
    <w:rsid w:val="00F209EE"/>
    <w:rsid w:val="00F21C22"/>
    <w:rsid w:val="00F24ADC"/>
    <w:rsid w:val="00F3201B"/>
    <w:rsid w:val="00F320FA"/>
    <w:rsid w:val="00F32E6A"/>
    <w:rsid w:val="00F33563"/>
    <w:rsid w:val="00F3573C"/>
    <w:rsid w:val="00F40EAF"/>
    <w:rsid w:val="00F46F6B"/>
    <w:rsid w:val="00F5652A"/>
    <w:rsid w:val="00F567AC"/>
    <w:rsid w:val="00F56C0E"/>
    <w:rsid w:val="00F57EB2"/>
    <w:rsid w:val="00F61154"/>
    <w:rsid w:val="00F64121"/>
    <w:rsid w:val="00F642ED"/>
    <w:rsid w:val="00F662AC"/>
    <w:rsid w:val="00F726B3"/>
    <w:rsid w:val="00F77000"/>
    <w:rsid w:val="00F871C5"/>
    <w:rsid w:val="00F9214E"/>
    <w:rsid w:val="00F95E17"/>
    <w:rsid w:val="00F97DCD"/>
    <w:rsid w:val="00FA3C50"/>
    <w:rsid w:val="00FA4F29"/>
    <w:rsid w:val="00FB26B7"/>
    <w:rsid w:val="00FB38A3"/>
    <w:rsid w:val="00FB41BF"/>
    <w:rsid w:val="00FB768C"/>
    <w:rsid w:val="00FC2178"/>
    <w:rsid w:val="00FC369D"/>
    <w:rsid w:val="00FC4334"/>
    <w:rsid w:val="00FC7E4A"/>
    <w:rsid w:val="00FD0ADB"/>
    <w:rsid w:val="00FD273E"/>
    <w:rsid w:val="00FD345C"/>
    <w:rsid w:val="00FD37C6"/>
    <w:rsid w:val="00FD64C2"/>
    <w:rsid w:val="00FD7DD3"/>
    <w:rsid w:val="00FE70BF"/>
    <w:rsid w:val="00FE71BD"/>
    <w:rsid w:val="00FE7C8D"/>
    <w:rsid w:val="00FF041B"/>
    <w:rsid w:val="00FF6D66"/>
    <w:rsid w:val="00FF7B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5CD9"/>
  <w15:docId w15:val="{517F8D4C-7225-485B-B6B0-189BCD4B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0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929B1"/>
    <w:pPr>
      <w:keepNext/>
      <w:jc w:val="both"/>
      <w:outlineLvl w:val="0"/>
    </w:pPr>
    <w:rPr>
      <w:szCs w:val="20"/>
      <w:lang w:val="en-US"/>
    </w:rPr>
  </w:style>
  <w:style w:type="paragraph" w:styleId="Naslov2">
    <w:name w:val="heading 2"/>
    <w:basedOn w:val="Normal"/>
    <w:next w:val="Normal"/>
    <w:link w:val="Naslov2Char"/>
    <w:qFormat/>
    <w:rsid w:val="002929B1"/>
    <w:pPr>
      <w:keepNext/>
      <w:jc w:val="center"/>
      <w:outlineLvl w:val="1"/>
    </w:pPr>
    <w:rPr>
      <w:szCs w:val="20"/>
      <w:lang w:val="en-US"/>
    </w:rPr>
  </w:style>
  <w:style w:type="paragraph" w:styleId="Naslov3">
    <w:name w:val="heading 3"/>
    <w:basedOn w:val="Normal"/>
    <w:next w:val="Normal"/>
    <w:link w:val="Naslov3Char"/>
    <w:qFormat/>
    <w:rsid w:val="002929B1"/>
    <w:pPr>
      <w:keepNext/>
      <w:outlineLvl w:val="2"/>
    </w:pPr>
    <w:rPr>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76D8"/>
    <w:pPr>
      <w:tabs>
        <w:tab w:val="center" w:pos="4536"/>
        <w:tab w:val="right" w:pos="9072"/>
      </w:tabs>
    </w:pPr>
    <w:rPr>
      <w:rFonts w:asciiTheme="minorHAnsi" w:eastAsiaTheme="minorHAnsi" w:hAnsiTheme="minorHAnsi" w:cstheme="minorBidi"/>
      <w:sz w:val="22"/>
      <w:szCs w:val="22"/>
    </w:rPr>
  </w:style>
  <w:style w:type="character" w:customStyle="1" w:styleId="ZaglavljeChar">
    <w:name w:val="Zaglavlje Char"/>
    <w:basedOn w:val="Zadanifontodlomka"/>
    <w:link w:val="Zaglavlje"/>
    <w:uiPriority w:val="99"/>
    <w:rsid w:val="003B76D8"/>
  </w:style>
  <w:style w:type="paragraph" w:styleId="Podnoje">
    <w:name w:val="footer"/>
    <w:basedOn w:val="Normal"/>
    <w:link w:val="PodnojeChar"/>
    <w:uiPriority w:val="99"/>
    <w:unhideWhenUsed/>
    <w:rsid w:val="003B76D8"/>
    <w:pPr>
      <w:tabs>
        <w:tab w:val="center" w:pos="4536"/>
        <w:tab w:val="right" w:pos="9072"/>
      </w:tabs>
    </w:pPr>
    <w:rPr>
      <w:rFonts w:asciiTheme="minorHAnsi" w:eastAsiaTheme="minorHAnsi" w:hAnsiTheme="minorHAnsi" w:cstheme="minorBidi"/>
      <w:sz w:val="22"/>
      <w:szCs w:val="22"/>
    </w:rPr>
  </w:style>
  <w:style w:type="character" w:customStyle="1" w:styleId="PodnojeChar">
    <w:name w:val="Podnožje Char"/>
    <w:basedOn w:val="Zadanifontodlomka"/>
    <w:link w:val="Podnoje"/>
    <w:uiPriority w:val="99"/>
    <w:rsid w:val="003B76D8"/>
  </w:style>
  <w:style w:type="character" w:customStyle="1" w:styleId="Style12pt">
    <w:name w:val="Style 12 pt"/>
    <w:rsid w:val="003B76D8"/>
    <w:rPr>
      <w:rFonts w:ascii="Times New Roman" w:hAnsi="Times New Roman" w:cs="Times New Roman" w:hint="default"/>
      <w:sz w:val="24"/>
      <w:szCs w:val="24"/>
      <w:vertAlign w:val="baseline"/>
    </w:rPr>
  </w:style>
  <w:style w:type="paragraph" w:styleId="Odlomakpopisa">
    <w:name w:val="List Paragraph"/>
    <w:basedOn w:val="Normal"/>
    <w:uiPriority w:val="34"/>
    <w:qFormat/>
    <w:rsid w:val="008452F1"/>
    <w:pPr>
      <w:ind w:left="720"/>
      <w:contextualSpacing/>
    </w:pPr>
  </w:style>
  <w:style w:type="character" w:customStyle="1" w:styleId="bold">
    <w:name w:val="bold"/>
    <w:basedOn w:val="Zadanifontodlomka"/>
    <w:rsid w:val="006F79C7"/>
  </w:style>
  <w:style w:type="paragraph" w:styleId="Tekstbalonia">
    <w:name w:val="Balloon Text"/>
    <w:basedOn w:val="Normal"/>
    <w:link w:val="TekstbaloniaChar"/>
    <w:uiPriority w:val="99"/>
    <w:semiHidden/>
    <w:unhideWhenUsed/>
    <w:rsid w:val="00EC1116"/>
    <w:rPr>
      <w:rFonts w:ascii="Tahoma" w:hAnsi="Tahoma" w:cs="Tahoma"/>
      <w:sz w:val="16"/>
      <w:szCs w:val="16"/>
    </w:rPr>
  </w:style>
  <w:style w:type="character" w:customStyle="1" w:styleId="TekstbaloniaChar">
    <w:name w:val="Tekst balončića Char"/>
    <w:basedOn w:val="Zadanifontodlomka"/>
    <w:link w:val="Tekstbalonia"/>
    <w:uiPriority w:val="99"/>
    <w:semiHidden/>
    <w:rsid w:val="00EC1116"/>
    <w:rPr>
      <w:rFonts w:ascii="Tahoma" w:eastAsia="Times New Roman" w:hAnsi="Tahoma" w:cs="Tahoma"/>
      <w:sz w:val="16"/>
      <w:szCs w:val="16"/>
    </w:rPr>
  </w:style>
  <w:style w:type="paragraph" w:styleId="Tijeloteksta2">
    <w:name w:val="Body Text 2"/>
    <w:basedOn w:val="Normal"/>
    <w:link w:val="Tijeloteksta2Char"/>
    <w:rsid w:val="00223C42"/>
    <w:rPr>
      <w:rFonts w:ascii="Arial" w:hAnsi="Arial" w:cs="Arial"/>
    </w:rPr>
  </w:style>
  <w:style w:type="character" w:customStyle="1" w:styleId="Tijeloteksta2Char">
    <w:name w:val="Tijelo teksta 2 Char"/>
    <w:basedOn w:val="Zadanifontodlomka"/>
    <w:link w:val="Tijeloteksta2"/>
    <w:rsid w:val="00223C42"/>
    <w:rPr>
      <w:rFonts w:ascii="Arial" w:eastAsia="Times New Roman" w:hAnsi="Arial" w:cs="Arial"/>
      <w:sz w:val="20"/>
      <w:szCs w:val="24"/>
      <w:lang w:eastAsia="hr-HR"/>
    </w:rPr>
  </w:style>
  <w:style w:type="character" w:styleId="Referencakomentara">
    <w:name w:val="annotation reference"/>
    <w:basedOn w:val="Zadanifontodlomka"/>
    <w:uiPriority w:val="99"/>
    <w:semiHidden/>
    <w:unhideWhenUsed/>
    <w:rsid w:val="00896F64"/>
    <w:rPr>
      <w:sz w:val="16"/>
      <w:szCs w:val="16"/>
    </w:rPr>
  </w:style>
  <w:style w:type="paragraph" w:styleId="Tekstkomentara">
    <w:name w:val="annotation text"/>
    <w:basedOn w:val="Normal"/>
    <w:link w:val="TekstkomentaraChar"/>
    <w:uiPriority w:val="99"/>
    <w:semiHidden/>
    <w:unhideWhenUsed/>
    <w:rsid w:val="00896F64"/>
  </w:style>
  <w:style w:type="character" w:customStyle="1" w:styleId="TekstkomentaraChar">
    <w:name w:val="Tekst komentara Char"/>
    <w:basedOn w:val="Zadanifontodlomka"/>
    <w:link w:val="Tekstkomentara"/>
    <w:uiPriority w:val="99"/>
    <w:semiHidden/>
    <w:rsid w:val="00896F64"/>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896F64"/>
    <w:rPr>
      <w:b/>
      <w:bCs/>
    </w:rPr>
  </w:style>
  <w:style w:type="character" w:customStyle="1" w:styleId="PredmetkomentaraChar">
    <w:name w:val="Predmet komentara Char"/>
    <w:basedOn w:val="TekstkomentaraChar"/>
    <w:link w:val="Predmetkomentara"/>
    <w:uiPriority w:val="99"/>
    <w:semiHidden/>
    <w:rsid w:val="00896F64"/>
    <w:rPr>
      <w:rFonts w:ascii="Times New Roman" w:eastAsia="Times New Roman" w:hAnsi="Times New Roman" w:cs="Times New Roman"/>
      <w:b/>
      <w:bCs/>
      <w:sz w:val="20"/>
      <w:szCs w:val="20"/>
    </w:rPr>
  </w:style>
  <w:style w:type="character" w:styleId="Hiperveza">
    <w:name w:val="Hyperlink"/>
    <w:basedOn w:val="Zadanifontodlomka"/>
    <w:uiPriority w:val="99"/>
    <w:unhideWhenUsed/>
    <w:rsid w:val="00835663"/>
    <w:rPr>
      <w:color w:val="0000FF"/>
      <w:u w:val="single"/>
    </w:rPr>
  </w:style>
  <w:style w:type="character" w:styleId="Naglaeno">
    <w:name w:val="Strong"/>
    <w:basedOn w:val="Zadanifontodlomka"/>
    <w:uiPriority w:val="22"/>
    <w:qFormat/>
    <w:rsid w:val="001F01A2"/>
    <w:rPr>
      <w:b/>
      <w:bCs/>
    </w:rPr>
  </w:style>
  <w:style w:type="paragraph" w:styleId="StandardWeb">
    <w:name w:val="Normal (Web)"/>
    <w:basedOn w:val="Normal"/>
    <w:uiPriority w:val="99"/>
    <w:unhideWhenUsed/>
    <w:rsid w:val="00C90E22"/>
    <w:pPr>
      <w:spacing w:before="100" w:beforeAutospacing="1" w:after="100" w:afterAutospacing="1"/>
    </w:pPr>
  </w:style>
  <w:style w:type="paragraph" w:styleId="Tekstkrajnjebiljeke">
    <w:name w:val="endnote text"/>
    <w:basedOn w:val="Normal"/>
    <w:link w:val="TekstkrajnjebiljekeChar"/>
    <w:uiPriority w:val="99"/>
    <w:semiHidden/>
    <w:unhideWhenUsed/>
    <w:rsid w:val="00C05548"/>
    <w:rPr>
      <w:sz w:val="20"/>
      <w:szCs w:val="20"/>
    </w:rPr>
  </w:style>
  <w:style w:type="character" w:customStyle="1" w:styleId="TekstkrajnjebiljekeChar">
    <w:name w:val="Tekst krajnje bilješke Char"/>
    <w:basedOn w:val="Zadanifontodlomka"/>
    <w:link w:val="Tekstkrajnjebiljeke"/>
    <w:uiPriority w:val="99"/>
    <w:semiHidden/>
    <w:rsid w:val="00C05548"/>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C05548"/>
    <w:rPr>
      <w:vertAlign w:val="superscript"/>
    </w:rPr>
  </w:style>
  <w:style w:type="character" w:customStyle="1" w:styleId="Naslov1Char">
    <w:name w:val="Naslov 1 Char"/>
    <w:basedOn w:val="Zadanifontodlomka"/>
    <w:link w:val="Naslov1"/>
    <w:rsid w:val="002929B1"/>
    <w:rPr>
      <w:rFonts w:ascii="Times New Roman" w:eastAsia="Times New Roman" w:hAnsi="Times New Roman" w:cs="Times New Roman"/>
      <w:sz w:val="24"/>
      <w:szCs w:val="20"/>
      <w:lang w:val="en-US" w:eastAsia="hr-HR"/>
    </w:rPr>
  </w:style>
  <w:style w:type="character" w:customStyle="1" w:styleId="Naslov2Char">
    <w:name w:val="Naslov 2 Char"/>
    <w:basedOn w:val="Zadanifontodlomka"/>
    <w:link w:val="Naslov2"/>
    <w:rsid w:val="002929B1"/>
    <w:rPr>
      <w:rFonts w:ascii="Times New Roman" w:eastAsia="Times New Roman" w:hAnsi="Times New Roman" w:cs="Times New Roman"/>
      <w:sz w:val="24"/>
      <w:szCs w:val="20"/>
      <w:lang w:val="en-US" w:eastAsia="hr-HR"/>
    </w:rPr>
  </w:style>
  <w:style w:type="character" w:customStyle="1" w:styleId="Naslov3Char">
    <w:name w:val="Naslov 3 Char"/>
    <w:basedOn w:val="Zadanifontodlomka"/>
    <w:link w:val="Naslov3"/>
    <w:rsid w:val="002929B1"/>
    <w:rPr>
      <w:rFonts w:ascii="Times New Roman" w:eastAsia="Times New Roman" w:hAnsi="Times New Roman" w:cs="Times New Roman"/>
      <w:sz w:val="24"/>
      <w:szCs w:val="20"/>
      <w:lang w:val="en-US" w:eastAsia="hr-HR"/>
    </w:rPr>
  </w:style>
  <w:style w:type="paragraph" w:styleId="Tijeloteksta">
    <w:name w:val="Body Text"/>
    <w:basedOn w:val="Normal"/>
    <w:link w:val="TijelotekstaChar"/>
    <w:rsid w:val="002929B1"/>
    <w:rPr>
      <w:rFonts w:ascii="Arial" w:hAnsi="Arial"/>
      <w:sz w:val="22"/>
    </w:rPr>
  </w:style>
  <w:style w:type="character" w:customStyle="1" w:styleId="TijelotekstaChar">
    <w:name w:val="Tijelo teksta Char"/>
    <w:basedOn w:val="Zadanifontodlomka"/>
    <w:link w:val="Tijeloteksta"/>
    <w:rsid w:val="002929B1"/>
    <w:rPr>
      <w:rFonts w:ascii="Arial" w:eastAsia="Times New Roman" w:hAnsi="Arial" w:cs="Times New Roman"/>
      <w:szCs w:val="24"/>
      <w:lang w:eastAsia="hr-HR"/>
    </w:rPr>
  </w:style>
  <w:style w:type="character" w:styleId="SlijeenaHiperveza">
    <w:name w:val="FollowedHyperlink"/>
    <w:uiPriority w:val="99"/>
    <w:semiHidden/>
    <w:unhideWhenUsed/>
    <w:rsid w:val="002929B1"/>
    <w:rPr>
      <w:color w:val="800080"/>
      <w:u w:val="single"/>
    </w:rPr>
  </w:style>
  <w:style w:type="table" w:styleId="Reetkatablice">
    <w:name w:val="Table Grid"/>
    <w:basedOn w:val="Obinatablica"/>
    <w:uiPriority w:val="59"/>
    <w:rsid w:val="002929B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2929B1"/>
  </w:style>
  <w:style w:type="paragraph" w:styleId="Bezproreda">
    <w:name w:val="No Spacing"/>
    <w:link w:val="BezproredaChar"/>
    <w:uiPriority w:val="1"/>
    <w:qFormat/>
    <w:rsid w:val="002929B1"/>
    <w:pPr>
      <w:spacing w:after="0" w:line="360" w:lineRule="auto"/>
      <w:jc w:val="both"/>
    </w:pPr>
    <w:rPr>
      <w:rFonts w:ascii="Times New Roman" w:eastAsia="Times New Roman" w:hAnsi="Times New Roman" w:cs="Times New Roman"/>
      <w:sz w:val="20"/>
      <w:szCs w:val="20"/>
      <w:lang w:val="en-US"/>
    </w:rPr>
  </w:style>
  <w:style w:type="paragraph" w:customStyle="1" w:styleId="xl65">
    <w:name w:val="xl65"/>
    <w:basedOn w:val="Normal"/>
    <w:rsid w:val="002929B1"/>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66">
    <w:name w:val="xl66"/>
    <w:basedOn w:val="Normal"/>
    <w:rsid w:val="002929B1"/>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67">
    <w:name w:val="xl67"/>
    <w:basedOn w:val="Normal"/>
    <w:rsid w:val="002929B1"/>
    <w:pPr>
      <w:pBdr>
        <w:left w:val="single" w:sz="8" w:space="0" w:color="auto"/>
        <w:right w:val="single" w:sz="8" w:space="0" w:color="auto"/>
      </w:pBdr>
      <w:spacing w:before="100" w:beforeAutospacing="1" w:after="100" w:afterAutospacing="1"/>
    </w:pPr>
  </w:style>
  <w:style w:type="paragraph" w:customStyle="1" w:styleId="xl68">
    <w:name w:val="xl68"/>
    <w:basedOn w:val="Normal"/>
    <w:rsid w:val="002929B1"/>
    <w:pPr>
      <w:pBdr>
        <w:left w:val="single" w:sz="8" w:space="0" w:color="auto"/>
        <w:bottom w:val="single" w:sz="8" w:space="0" w:color="auto"/>
        <w:right w:val="single" w:sz="8" w:space="0" w:color="auto"/>
      </w:pBdr>
      <w:spacing w:before="100" w:beforeAutospacing="1" w:after="100" w:afterAutospacing="1"/>
    </w:pPr>
  </w:style>
  <w:style w:type="paragraph" w:customStyle="1" w:styleId="xl69">
    <w:name w:val="xl69"/>
    <w:basedOn w:val="Normal"/>
    <w:rsid w:val="002929B1"/>
    <w:pPr>
      <w:pBdr>
        <w:top w:val="single" w:sz="8" w:space="0" w:color="auto"/>
        <w:right w:val="single" w:sz="8" w:space="0" w:color="auto"/>
      </w:pBdr>
      <w:spacing w:before="100" w:beforeAutospacing="1" w:after="100" w:afterAutospacing="1"/>
      <w:jc w:val="center"/>
    </w:pPr>
    <w:rPr>
      <w:color w:val="000000"/>
      <w:sz w:val="20"/>
      <w:szCs w:val="20"/>
    </w:rPr>
  </w:style>
  <w:style w:type="paragraph" w:customStyle="1" w:styleId="xl70">
    <w:name w:val="xl70"/>
    <w:basedOn w:val="Normal"/>
    <w:rsid w:val="002929B1"/>
    <w:pPr>
      <w:pBdr>
        <w:right w:val="single" w:sz="8" w:space="0" w:color="auto"/>
      </w:pBdr>
      <w:spacing w:before="100" w:beforeAutospacing="1" w:after="100" w:afterAutospacing="1"/>
      <w:jc w:val="center"/>
    </w:pPr>
    <w:rPr>
      <w:color w:val="000000"/>
      <w:sz w:val="20"/>
      <w:szCs w:val="20"/>
    </w:rPr>
  </w:style>
  <w:style w:type="paragraph" w:customStyle="1" w:styleId="xl71">
    <w:name w:val="xl71"/>
    <w:basedOn w:val="Normal"/>
    <w:rsid w:val="002929B1"/>
    <w:pPr>
      <w:pBdr>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72">
    <w:name w:val="xl72"/>
    <w:basedOn w:val="Normal"/>
    <w:rsid w:val="002929B1"/>
    <w:pPr>
      <w:pBdr>
        <w:right w:val="single" w:sz="8" w:space="0" w:color="auto"/>
      </w:pBdr>
      <w:spacing w:before="100" w:beforeAutospacing="1" w:after="100" w:afterAutospacing="1"/>
    </w:pPr>
  </w:style>
  <w:style w:type="paragraph" w:customStyle="1" w:styleId="xl73">
    <w:name w:val="xl73"/>
    <w:basedOn w:val="Normal"/>
    <w:rsid w:val="002929B1"/>
    <w:pPr>
      <w:pBdr>
        <w:bottom w:val="single" w:sz="8" w:space="0" w:color="auto"/>
        <w:right w:val="single" w:sz="8" w:space="0" w:color="auto"/>
      </w:pBdr>
      <w:spacing w:before="100" w:beforeAutospacing="1" w:after="100" w:afterAutospacing="1"/>
    </w:pPr>
  </w:style>
  <w:style w:type="paragraph" w:customStyle="1" w:styleId="xl74">
    <w:name w:val="xl74"/>
    <w:basedOn w:val="Normal"/>
    <w:rsid w:val="002929B1"/>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75">
    <w:name w:val="xl75"/>
    <w:basedOn w:val="Normal"/>
    <w:rsid w:val="002929B1"/>
    <w:pPr>
      <w:spacing w:before="100" w:beforeAutospacing="1" w:after="100" w:afterAutospacing="1"/>
    </w:pPr>
    <w:rPr>
      <w:color w:val="000000"/>
    </w:rPr>
  </w:style>
  <w:style w:type="paragraph" w:customStyle="1" w:styleId="xl76">
    <w:name w:val="xl76"/>
    <w:basedOn w:val="Normal"/>
    <w:rsid w:val="002929B1"/>
    <w:pPr>
      <w:spacing w:before="100" w:beforeAutospacing="1" w:after="100" w:afterAutospacing="1"/>
    </w:pPr>
    <w:rPr>
      <w:color w:val="000000"/>
      <w:sz w:val="20"/>
      <w:szCs w:val="20"/>
    </w:rPr>
  </w:style>
  <w:style w:type="paragraph" w:customStyle="1" w:styleId="xl77">
    <w:name w:val="xl77"/>
    <w:basedOn w:val="Normal"/>
    <w:rsid w:val="002929B1"/>
    <w:pPr>
      <w:pBdr>
        <w:left w:val="single" w:sz="8" w:space="0" w:color="auto"/>
      </w:pBdr>
      <w:spacing w:before="100" w:beforeAutospacing="1" w:after="100" w:afterAutospacing="1"/>
    </w:pPr>
    <w:rPr>
      <w:color w:val="000000"/>
      <w:sz w:val="20"/>
      <w:szCs w:val="20"/>
    </w:rPr>
  </w:style>
  <w:style w:type="paragraph" w:customStyle="1" w:styleId="xl78">
    <w:name w:val="xl78"/>
    <w:basedOn w:val="Normal"/>
    <w:rsid w:val="002929B1"/>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79">
    <w:name w:val="xl79"/>
    <w:basedOn w:val="Normal"/>
    <w:rsid w:val="002929B1"/>
    <w:pPr>
      <w:pBdr>
        <w:right w:val="single" w:sz="8" w:space="0" w:color="auto"/>
      </w:pBdr>
      <w:spacing w:before="100" w:beforeAutospacing="1" w:after="100" w:afterAutospacing="1"/>
      <w:jc w:val="center"/>
    </w:pPr>
    <w:rPr>
      <w:color w:val="000000"/>
      <w:sz w:val="20"/>
      <w:szCs w:val="20"/>
    </w:rPr>
  </w:style>
  <w:style w:type="paragraph" w:customStyle="1" w:styleId="xl80">
    <w:name w:val="xl80"/>
    <w:basedOn w:val="Normal"/>
    <w:rsid w:val="002929B1"/>
    <w:pPr>
      <w:pBdr>
        <w:top w:val="single" w:sz="8" w:space="0" w:color="auto"/>
        <w:left w:val="single" w:sz="8" w:space="0" w:color="auto"/>
        <w:right w:val="single" w:sz="8" w:space="0" w:color="auto"/>
      </w:pBdr>
      <w:spacing w:before="100" w:beforeAutospacing="1" w:after="100" w:afterAutospacing="1"/>
      <w:jc w:val="right"/>
    </w:pPr>
    <w:rPr>
      <w:color w:val="000000"/>
      <w:sz w:val="20"/>
      <w:szCs w:val="20"/>
    </w:rPr>
  </w:style>
  <w:style w:type="paragraph" w:customStyle="1" w:styleId="xl81">
    <w:name w:val="xl81"/>
    <w:basedOn w:val="Normal"/>
    <w:rsid w:val="002929B1"/>
    <w:pPr>
      <w:pBdr>
        <w:right w:val="single" w:sz="8" w:space="0" w:color="auto"/>
      </w:pBdr>
      <w:spacing w:before="100" w:beforeAutospacing="1" w:after="100" w:afterAutospacing="1"/>
    </w:pPr>
    <w:rPr>
      <w:color w:val="000000"/>
      <w:sz w:val="20"/>
      <w:szCs w:val="20"/>
    </w:rPr>
  </w:style>
  <w:style w:type="paragraph" w:customStyle="1" w:styleId="xl82">
    <w:name w:val="xl82"/>
    <w:basedOn w:val="Normal"/>
    <w:rsid w:val="002929B1"/>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83">
    <w:name w:val="xl83"/>
    <w:basedOn w:val="Normal"/>
    <w:rsid w:val="002929B1"/>
    <w:pPr>
      <w:pBdr>
        <w:left w:val="single" w:sz="8" w:space="0" w:color="auto"/>
        <w:right w:val="single" w:sz="8" w:space="0" w:color="auto"/>
      </w:pBdr>
      <w:spacing w:before="100" w:beforeAutospacing="1" w:after="100" w:afterAutospacing="1"/>
      <w:jc w:val="right"/>
    </w:pPr>
    <w:rPr>
      <w:color w:val="000000"/>
      <w:sz w:val="20"/>
      <w:szCs w:val="20"/>
    </w:rPr>
  </w:style>
  <w:style w:type="paragraph" w:customStyle="1" w:styleId="xl84">
    <w:name w:val="xl84"/>
    <w:basedOn w:val="Normal"/>
    <w:rsid w:val="002929B1"/>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85">
    <w:name w:val="xl85"/>
    <w:basedOn w:val="Normal"/>
    <w:rsid w:val="002929B1"/>
    <w:pPr>
      <w:pBdr>
        <w:bottom w:val="single" w:sz="8" w:space="0" w:color="auto"/>
        <w:right w:val="single" w:sz="8" w:space="0" w:color="auto"/>
      </w:pBdr>
      <w:spacing w:before="100" w:beforeAutospacing="1" w:after="100" w:afterAutospacing="1"/>
    </w:pPr>
  </w:style>
  <w:style w:type="paragraph" w:customStyle="1" w:styleId="xl86">
    <w:name w:val="xl86"/>
    <w:basedOn w:val="Normal"/>
    <w:rsid w:val="002929B1"/>
    <w:pPr>
      <w:pBdr>
        <w:left w:val="single" w:sz="8" w:space="0" w:color="auto"/>
        <w:bottom w:val="single" w:sz="8" w:space="0" w:color="auto"/>
        <w:right w:val="single" w:sz="8" w:space="0" w:color="auto"/>
      </w:pBdr>
      <w:spacing w:before="100" w:beforeAutospacing="1" w:after="100" w:afterAutospacing="1"/>
      <w:jc w:val="right"/>
    </w:pPr>
    <w:rPr>
      <w:color w:val="000000"/>
      <w:sz w:val="20"/>
      <w:szCs w:val="20"/>
    </w:rPr>
  </w:style>
  <w:style w:type="paragraph" w:customStyle="1" w:styleId="xl87">
    <w:name w:val="xl87"/>
    <w:basedOn w:val="Normal"/>
    <w:rsid w:val="002929B1"/>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8">
    <w:name w:val="xl88"/>
    <w:basedOn w:val="Normal"/>
    <w:rsid w:val="002929B1"/>
    <w:pPr>
      <w:pBdr>
        <w:top w:val="single" w:sz="8" w:space="0" w:color="auto"/>
        <w:left w:val="single" w:sz="8" w:space="0" w:color="auto"/>
        <w:right w:val="single" w:sz="8" w:space="0" w:color="auto"/>
      </w:pBdr>
      <w:spacing w:before="100" w:beforeAutospacing="1" w:after="100" w:afterAutospacing="1"/>
    </w:pPr>
    <w:rPr>
      <w:color w:val="000000"/>
      <w:sz w:val="20"/>
      <w:szCs w:val="20"/>
    </w:rPr>
  </w:style>
  <w:style w:type="paragraph" w:customStyle="1" w:styleId="xl89">
    <w:name w:val="xl89"/>
    <w:basedOn w:val="Normal"/>
    <w:rsid w:val="002929B1"/>
    <w:pPr>
      <w:pBdr>
        <w:left w:val="single" w:sz="8" w:space="0" w:color="auto"/>
        <w:bottom w:val="single" w:sz="8" w:space="0" w:color="auto"/>
        <w:right w:val="single" w:sz="8" w:space="0" w:color="auto"/>
      </w:pBdr>
      <w:spacing w:before="100" w:beforeAutospacing="1" w:after="100" w:afterAutospacing="1"/>
    </w:pPr>
    <w:rPr>
      <w:color w:val="000000"/>
      <w:sz w:val="20"/>
      <w:szCs w:val="20"/>
    </w:rPr>
  </w:style>
  <w:style w:type="paragraph" w:customStyle="1" w:styleId="xl90">
    <w:name w:val="xl90"/>
    <w:basedOn w:val="Normal"/>
    <w:rsid w:val="002929B1"/>
    <w:pPr>
      <w:pBdr>
        <w:top w:val="single" w:sz="8" w:space="0" w:color="auto"/>
        <w:right w:val="single" w:sz="8" w:space="0" w:color="auto"/>
      </w:pBdr>
      <w:spacing w:before="100" w:beforeAutospacing="1" w:after="100" w:afterAutospacing="1"/>
      <w:jc w:val="center"/>
    </w:pPr>
    <w:rPr>
      <w:color w:val="000000"/>
      <w:sz w:val="20"/>
      <w:szCs w:val="20"/>
    </w:rPr>
  </w:style>
  <w:style w:type="paragraph" w:customStyle="1" w:styleId="xl91">
    <w:name w:val="xl91"/>
    <w:basedOn w:val="Normal"/>
    <w:rsid w:val="002929B1"/>
    <w:pPr>
      <w:pBdr>
        <w:top w:val="single" w:sz="8" w:space="0" w:color="auto"/>
        <w:right w:val="single" w:sz="8" w:space="0" w:color="auto"/>
      </w:pBdr>
      <w:spacing w:before="100" w:beforeAutospacing="1" w:after="100" w:afterAutospacing="1"/>
    </w:pPr>
    <w:rPr>
      <w:color w:val="000000"/>
      <w:sz w:val="20"/>
      <w:szCs w:val="20"/>
    </w:rPr>
  </w:style>
  <w:style w:type="paragraph" w:customStyle="1" w:styleId="xl92">
    <w:name w:val="xl92"/>
    <w:basedOn w:val="Normal"/>
    <w:rsid w:val="002929B1"/>
    <w:pPr>
      <w:pBdr>
        <w:right w:val="single" w:sz="8" w:space="0" w:color="auto"/>
      </w:pBdr>
      <w:spacing w:before="100" w:beforeAutospacing="1" w:after="100" w:afterAutospacing="1"/>
    </w:pPr>
  </w:style>
  <w:style w:type="paragraph" w:customStyle="1" w:styleId="xl93">
    <w:name w:val="xl93"/>
    <w:basedOn w:val="Normal"/>
    <w:rsid w:val="002929B1"/>
    <w:pPr>
      <w:pBdr>
        <w:left w:val="single" w:sz="8" w:space="0" w:color="auto"/>
        <w:right w:val="single" w:sz="8" w:space="0" w:color="auto"/>
      </w:pBdr>
      <w:spacing w:before="100" w:beforeAutospacing="1" w:after="100" w:afterAutospacing="1"/>
    </w:pPr>
    <w:rPr>
      <w:color w:val="000000"/>
      <w:sz w:val="20"/>
      <w:szCs w:val="20"/>
    </w:rPr>
  </w:style>
  <w:style w:type="paragraph" w:customStyle="1" w:styleId="xl94">
    <w:name w:val="xl94"/>
    <w:basedOn w:val="Normal"/>
    <w:rsid w:val="002929B1"/>
    <w:pPr>
      <w:pBdr>
        <w:left w:val="single" w:sz="8" w:space="0" w:color="auto"/>
        <w:right w:val="single" w:sz="8" w:space="0" w:color="auto"/>
      </w:pBdr>
      <w:spacing w:before="100" w:beforeAutospacing="1" w:after="100" w:afterAutospacing="1"/>
    </w:pPr>
  </w:style>
  <w:style w:type="paragraph" w:customStyle="1" w:styleId="xl95">
    <w:name w:val="xl95"/>
    <w:basedOn w:val="Normal"/>
    <w:rsid w:val="002929B1"/>
    <w:pPr>
      <w:pBdr>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96">
    <w:name w:val="xl96"/>
    <w:basedOn w:val="Normal"/>
    <w:rsid w:val="002929B1"/>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97">
    <w:name w:val="xl97"/>
    <w:basedOn w:val="Normal"/>
    <w:rsid w:val="002929B1"/>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98">
    <w:name w:val="xl98"/>
    <w:basedOn w:val="Normal"/>
    <w:rsid w:val="002929B1"/>
    <w:pPr>
      <w:pBdr>
        <w:top w:val="single" w:sz="8" w:space="0" w:color="auto"/>
        <w:left w:val="single" w:sz="8" w:space="0" w:color="auto"/>
        <w:right w:val="single" w:sz="8" w:space="0" w:color="auto"/>
      </w:pBdr>
      <w:spacing w:before="100" w:beforeAutospacing="1" w:after="100" w:afterAutospacing="1"/>
      <w:jc w:val="right"/>
    </w:pPr>
    <w:rPr>
      <w:color w:val="000000"/>
      <w:sz w:val="20"/>
      <w:szCs w:val="20"/>
    </w:rPr>
  </w:style>
  <w:style w:type="paragraph" w:customStyle="1" w:styleId="xl99">
    <w:name w:val="xl99"/>
    <w:basedOn w:val="Normal"/>
    <w:rsid w:val="002929B1"/>
    <w:pPr>
      <w:pBdr>
        <w:left w:val="single" w:sz="8" w:space="0" w:color="auto"/>
        <w:bottom w:val="single" w:sz="8" w:space="0" w:color="auto"/>
        <w:right w:val="single" w:sz="8" w:space="0" w:color="auto"/>
      </w:pBdr>
      <w:spacing w:before="100" w:beforeAutospacing="1" w:after="100" w:afterAutospacing="1"/>
      <w:jc w:val="right"/>
    </w:pPr>
    <w:rPr>
      <w:color w:val="000000"/>
      <w:sz w:val="20"/>
      <w:szCs w:val="20"/>
    </w:rPr>
  </w:style>
  <w:style w:type="paragraph" w:customStyle="1" w:styleId="xl100">
    <w:name w:val="xl100"/>
    <w:basedOn w:val="Normal"/>
    <w:rsid w:val="002929B1"/>
    <w:pPr>
      <w:pBdr>
        <w:left w:val="single" w:sz="8" w:space="0" w:color="auto"/>
        <w:bottom w:val="single" w:sz="8" w:space="0" w:color="auto"/>
        <w:right w:val="single" w:sz="8" w:space="0" w:color="auto"/>
      </w:pBdr>
      <w:spacing w:before="100" w:beforeAutospacing="1" w:after="100" w:afterAutospacing="1"/>
    </w:pPr>
  </w:style>
  <w:style w:type="table" w:customStyle="1" w:styleId="TableGrid">
    <w:name w:val="TableGrid"/>
    <w:rsid w:val="002929B1"/>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 w:type="numbering" w:customStyle="1" w:styleId="Bezpopisa1">
    <w:name w:val="Bez popisa1"/>
    <w:next w:val="Bezpopisa"/>
    <w:uiPriority w:val="99"/>
    <w:semiHidden/>
    <w:rsid w:val="002929B1"/>
  </w:style>
  <w:style w:type="table" w:customStyle="1" w:styleId="Reetkatablice1">
    <w:name w:val="Rešetka tablice1"/>
    <w:basedOn w:val="Obinatablica"/>
    <w:next w:val="Reetkatablice"/>
    <w:uiPriority w:val="59"/>
    <w:rsid w:val="002929B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59473A"/>
    <w:pPr>
      <w:spacing w:after="0" w:line="240" w:lineRule="auto"/>
    </w:pPr>
    <w:rPr>
      <w:rFonts w:ascii="Times New Roman" w:eastAsia="Times New Roman" w:hAnsi="Times New Roman" w:cs="Times New Roman"/>
      <w:sz w:val="24"/>
      <w:szCs w:val="24"/>
      <w:lang w:eastAsia="hr-HR"/>
    </w:rPr>
  </w:style>
  <w:style w:type="paragraph" w:customStyle="1" w:styleId="msonormal0">
    <w:name w:val="msonormal"/>
    <w:basedOn w:val="Normal"/>
    <w:rsid w:val="0065322B"/>
    <w:pPr>
      <w:spacing w:before="100" w:beforeAutospacing="1" w:after="100" w:afterAutospacing="1"/>
    </w:pPr>
  </w:style>
  <w:style w:type="paragraph" w:customStyle="1" w:styleId="font5">
    <w:name w:val="font5"/>
    <w:basedOn w:val="Normal"/>
    <w:rsid w:val="0065322B"/>
    <w:pPr>
      <w:spacing w:before="100" w:beforeAutospacing="1" w:after="100" w:afterAutospacing="1"/>
    </w:pPr>
    <w:rPr>
      <w:rFonts w:ascii="Calibri" w:hAnsi="Calibri" w:cs="Calibri"/>
      <w:b/>
      <w:bCs/>
      <w:color w:val="000000"/>
      <w:sz w:val="22"/>
      <w:szCs w:val="22"/>
    </w:rPr>
  </w:style>
  <w:style w:type="paragraph" w:customStyle="1" w:styleId="font6">
    <w:name w:val="font6"/>
    <w:basedOn w:val="Normal"/>
    <w:rsid w:val="0065322B"/>
    <w:pPr>
      <w:spacing w:before="100" w:beforeAutospacing="1" w:after="100" w:afterAutospacing="1"/>
    </w:pPr>
    <w:rPr>
      <w:rFonts w:ascii="Calibri" w:hAnsi="Calibri" w:cs="Calibri"/>
      <w:b/>
      <w:bCs/>
      <w:color w:val="FF0000"/>
      <w:sz w:val="22"/>
      <w:szCs w:val="22"/>
    </w:rPr>
  </w:style>
  <w:style w:type="paragraph" w:customStyle="1" w:styleId="font7">
    <w:name w:val="font7"/>
    <w:basedOn w:val="Normal"/>
    <w:rsid w:val="0065322B"/>
    <w:pPr>
      <w:spacing w:before="100" w:beforeAutospacing="1" w:after="100" w:afterAutospacing="1"/>
    </w:pPr>
    <w:rPr>
      <w:rFonts w:ascii="Calibri" w:hAnsi="Calibri" w:cs="Calibri"/>
      <w:b/>
      <w:bCs/>
      <w:color w:val="000000"/>
      <w:sz w:val="18"/>
      <w:szCs w:val="18"/>
    </w:rPr>
  </w:style>
  <w:style w:type="paragraph" w:customStyle="1" w:styleId="font8">
    <w:name w:val="font8"/>
    <w:basedOn w:val="Normal"/>
    <w:rsid w:val="0065322B"/>
    <w:pPr>
      <w:spacing w:before="100" w:beforeAutospacing="1" w:after="100" w:afterAutospacing="1"/>
    </w:pPr>
    <w:rPr>
      <w:rFonts w:ascii="Calibri" w:hAnsi="Calibri" w:cs="Calibri"/>
      <w:b/>
      <w:bCs/>
      <w:color w:val="FF0000"/>
      <w:sz w:val="18"/>
      <w:szCs w:val="18"/>
    </w:rPr>
  </w:style>
  <w:style w:type="paragraph" w:customStyle="1" w:styleId="font9">
    <w:name w:val="font9"/>
    <w:basedOn w:val="Normal"/>
    <w:rsid w:val="0065322B"/>
    <w:pPr>
      <w:spacing w:before="100" w:beforeAutospacing="1" w:after="100" w:afterAutospacing="1"/>
    </w:pPr>
    <w:rPr>
      <w:rFonts w:ascii="Calibri" w:hAnsi="Calibri" w:cs="Calibri"/>
      <w:b/>
      <w:bCs/>
      <w:color w:val="000000"/>
      <w:sz w:val="16"/>
      <w:szCs w:val="16"/>
    </w:rPr>
  </w:style>
  <w:style w:type="paragraph" w:customStyle="1" w:styleId="font10">
    <w:name w:val="font10"/>
    <w:basedOn w:val="Normal"/>
    <w:rsid w:val="0065322B"/>
    <w:pPr>
      <w:spacing w:before="100" w:beforeAutospacing="1" w:after="100" w:afterAutospacing="1"/>
    </w:pPr>
    <w:rPr>
      <w:rFonts w:ascii="Calibri" w:hAnsi="Calibri" w:cs="Calibri"/>
      <w:b/>
      <w:bCs/>
      <w:color w:val="FF0000"/>
      <w:sz w:val="18"/>
      <w:szCs w:val="18"/>
      <w:u w:val="single"/>
    </w:rPr>
  </w:style>
  <w:style w:type="paragraph" w:customStyle="1" w:styleId="xl101">
    <w:name w:val="xl101"/>
    <w:basedOn w:val="Normal"/>
    <w:rsid w:val="0065322B"/>
    <w:pPr>
      <w:pBdr>
        <w:top w:val="double" w:sz="6" w:space="0" w:color="auto"/>
        <w:left w:val="single" w:sz="4" w:space="0" w:color="auto"/>
        <w:bottom w:val="single" w:sz="4" w:space="0" w:color="auto"/>
        <w:right w:val="single" w:sz="4" w:space="0" w:color="auto"/>
      </w:pBdr>
      <w:shd w:val="pct12" w:color="BFBFBF" w:fill="auto"/>
      <w:spacing w:before="100" w:beforeAutospacing="1" w:after="100" w:afterAutospacing="1"/>
      <w:jc w:val="right"/>
      <w:textAlignment w:val="center"/>
    </w:pPr>
    <w:rPr>
      <w:b/>
      <w:bCs/>
      <w:i/>
      <w:iCs/>
    </w:rPr>
  </w:style>
  <w:style w:type="paragraph" w:customStyle="1" w:styleId="xl102">
    <w:name w:val="xl102"/>
    <w:basedOn w:val="Normal"/>
    <w:rsid w:val="0065322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65322B"/>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Normal"/>
    <w:rsid w:val="006532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rsid w:val="0065322B"/>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6532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Normal"/>
    <w:rsid w:val="006532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Normal"/>
    <w:rsid w:val="0065322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65322B"/>
    <w:pPr>
      <w:pBdr>
        <w:left w:val="single" w:sz="4" w:space="0" w:color="auto"/>
        <w:bottom w:val="single" w:sz="4" w:space="0" w:color="auto"/>
      </w:pBdr>
      <w:shd w:val="clear" w:color="000000" w:fill="E2EFDA"/>
      <w:spacing w:before="100" w:beforeAutospacing="1" w:after="100" w:afterAutospacing="1"/>
      <w:jc w:val="right"/>
      <w:textAlignment w:val="center"/>
    </w:pPr>
  </w:style>
  <w:style w:type="paragraph" w:customStyle="1" w:styleId="xl110">
    <w:name w:val="xl110"/>
    <w:basedOn w:val="Normal"/>
    <w:rsid w:val="0065322B"/>
    <w:pPr>
      <w:pBdr>
        <w:left w:val="single" w:sz="4" w:space="0" w:color="auto"/>
        <w:bottom w:val="single" w:sz="4" w:space="0" w:color="auto"/>
      </w:pBdr>
      <w:shd w:val="clear" w:color="000000" w:fill="EBEEF1"/>
      <w:spacing w:before="100" w:beforeAutospacing="1" w:after="100" w:afterAutospacing="1"/>
      <w:jc w:val="right"/>
      <w:textAlignment w:val="center"/>
    </w:pPr>
  </w:style>
  <w:style w:type="paragraph" w:customStyle="1" w:styleId="xl111">
    <w:name w:val="xl111"/>
    <w:basedOn w:val="Normal"/>
    <w:rsid w:val="0065322B"/>
    <w:pPr>
      <w:pBdr>
        <w:left w:val="single" w:sz="4" w:space="0" w:color="auto"/>
        <w:bottom w:val="single" w:sz="4" w:space="0" w:color="auto"/>
        <w:right w:val="double" w:sz="6" w:space="0" w:color="auto"/>
      </w:pBdr>
      <w:spacing w:before="100" w:beforeAutospacing="1" w:after="100" w:afterAutospacing="1"/>
      <w:jc w:val="right"/>
      <w:textAlignment w:val="center"/>
    </w:pPr>
  </w:style>
  <w:style w:type="paragraph" w:customStyle="1" w:styleId="xl112">
    <w:name w:val="xl112"/>
    <w:basedOn w:val="Normal"/>
    <w:rsid w:val="0065322B"/>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3">
    <w:name w:val="xl113"/>
    <w:basedOn w:val="Normal"/>
    <w:rsid w:val="0065322B"/>
    <w:pPr>
      <w:spacing w:before="100" w:beforeAutospacing="1" w:after="100" w:afterAutospacing="1"/>
      <w:jc w:val="center"/>
      <w:textAlignment w:val="center"/>
    </w:pPr>
    <w:rPr>
      <w:b/>
      <w:bCs/>
      <w:sz w:val="40"/>
      <w:szCs w:val="40"/>
    </w:rPr>
  </w:style>
  <w:style w:type="paragraph" w:customStyle="1" w:styleId="xl114">
    <w:name w:val="xl114"/>
    <w:basedOn w:val="Normal"/>
    <w:rsid w:val="0065322B"/>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15">
    <w:name w:val="xl115"/>
    <w:basedOn w:val="Normal"/>
    <w:rsid w:val="0065322B"/>
    <w:pPr>
      <w:pBdr>
        <w:left w:val="single" w:sz="4" w:space="0" w:color="auto"/>
      </w:pBdr>
      <w:spacing w:before="100" w:beforeAutospacing="1" w:after="100" w:afterAutospacing="1"/>
      <w:jc w:val="center"/>
      <w:textAlignment w:val="top"/>
    </w:pPr>
    <w:rPr>
      <w:b/>
      <w:bCs/>
    </w:rPr>
  </w:style>
  <w:style w:type="paragraph" w:customStyle="1" w:styleId="xl116">
    <w:name w:val="xl116"/>
    <w:basedOn w:val="Normal"/>
    <w:rsid w:val="0065322B"/>
    <w:pPr>
      <w:pBdr>
        <w:left w:val="single" w:sz="4" w:space="0" w:color="auto"/>
        <w:bottom w:val="double" w:sz="6" w:space="0" w:color="auto"/>
      </w:pBdr>
      <w:spacing w:before="100" w:beforeAutospacing="1" w:after="100" w:afterAutospacing="1"/>
      <w:jc w:val="center"/>
      <w:textAlignment w:val="top"/>
    </w:pPr>
    <w:rPr>
      <w:b/>
      <w:bCs/>
    </w:rPr>
  </w:style>
  <w:style w:type="paragraph" w:customStyle="1" w:styleId="xl117">
    <w:name w:val="xl117"/>
    <w:basedOn w:val="Normal"/>
    <w:rsid w:val="0065322B"/>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Normal"/>
    <w:rsid w:val="0065322B"/>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9">
    <w:name w:val="xl119"/>
    <w:basedOn w:val="Normal"/>
    <w:rsid w:val="0065322B"/>
    <w:pPr>
      <w:pBdr>
        <w:left w:val="single" w:sz="4" w:space="0" w:color="auto"/>
        <w:bottom w:val="double" w:sz="6"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65322B"/>
    <w:pPr>
      <w:pBdr>
        <w:top w:val="single" w:sz="4" w:space="0" w:color="auto"/>
        <w:left w:val="double" w:sz="6" w:space="0" w:color="auto"/>
        <w:right w:val="single" w:sz="4" w:space="0" w:color="auto"/>
      </w:pBdr>
      <w:spacing w:before="100" w:beforeAutospacing="1" w:after="100" w:afterAutospacing="1"/>
      <w:jc w:val="center"/>
      <w:textAlignment w:val="top"/>
    </w:pPr>
    <w:rPr>
      <w:b/>
      <w:bCs/>
    </w:rPr>
  </w:style>
  <w:style w:type="paragraph" w:customStyle="1" w:styleId="xl121">
    <w:name w:val="xl121"/>
    <w:basedOn w:val="Normal"/>
    <w:rsid w:val="0065322B"/>
    <w:pPr>
      <w:pBdr>
        <w:left w:val="double" w:sz="6"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2">
    <w:name w:val="xl122"/>
    <w:basedOn w:val="Normal"/>
    <w:rsid w:val="0065322B"/>
    <w:pPr>
      <w:pBdr>
        <w:top w:val="single" w:sz="4" w:space="0" w:color="auto"/>
        <w:left w:val="single" w:sz="4" w:space="0" w:color="auto"/>
        <w:right w:val="double" w:sz="6" w:space="0" w:color="auto"/>
      </w:pBdr>
      <w:spacing w:before="100" w:beforeAutospacing="1" w:after="100" w:afterAutospacing="1"/>
      <w:jc w:val="center"/>
      <w:textAlignment w:val="center"/>
    </w:pPr>
    <w:rPr>
      <w:b/>
      <w:bCs/>
    </w:rPr>
  </w:style>
  <w:style w:type="paragraph" w:customStyle="1" w:styleId="xl123">
    <w:name w:val="xl123"/>
    <w:basedOn w:val="Normal"/>
    <w:rsid w:val="0065322B"/>
    <w:pPr>
      <w:pBdr>
        <w:left w:val="single" w:sz="4" w:space="0" w:color="auto"/>
        <w:right w:val="double" w:sz="6" w:space="0" w:color="auto"/>
      </w:pBdr>
      <w:spacing w:before="100" w:beforeAutospacing="1" w:after="100" w:afterAutospacing="1"/>
      <w:jc w:val="center"/>
      <w:textAlignment w:val="center"/>
    </w:pPr>
    <w:rPr>
      <w:b/>
      <w:bCs/>
    </w:rPr>
  </w:style>
  <w:style w:type="paragraph" w:customStyle="1" w:styleId="xl124">
    <w:name w:val="xl124"/>
    <w:basedOn w:val="Normal"/>
    <w:rsid w:val="0065322B"/>
    <w:pPr>
      <w:pBdr>
        <w:left w:val="single" w:sz="4" w:space="0" w:color="auto"/>
        <w:bottom w:val="double" w:sz="6" w:space="0" w:color="auto"/>
        <w:right w:val="double" w:sz="6" w:space="0" w:color="auto"/>
      </w:pBdr>
      <w:spacing w:before="100" w:beforeAutospacing="1" w:after="100" w:afterAutospacing="1"/>
      <w:jc w:val="center"/>
      <w:textAlignment w:val="center"/>
    </w:pPr>
    <w:rPr>
      <w:b/>
      <w:bCs/>
    </w:rPr>
  </w:style>
  <w:style w:type="paragraph" w:customStyle="1" w:styleId="xl125">
    <w:name w:val="xl125"/>
    <w:basedOn w:val="Normal"/>
    <w:rsid w:val="0065322B"/>
    <w:pPr>
      <w:pBdr>
        <w:top w:val="single" w:sz="4" w:space="0" w:color="auto"/>
        <w:left w:val="double" w:sz="6" w:space="0" w:color="auto"/>
      </w:pBdr>
      <w:shd w:val="clear" w:color="000000" w:fill="E2EFDA"/>
      <w:spacing w:before="100" w:beforeAutospacing="1" w:after="100" w:afterAutospacing="1"/>
      <w:jc w:val="center"/>
      <w:textAlignment w:val="top"/>
    </w:pPr>
    <w:rPr>
      <w:b/>
      <w:bCs/>
    </w:rPr>
  </w:style>
  <w:style w:type="paragraph" w:customStyle="1" w:styleId="xl126">
    <w:name w:val="xl126"/>
    <w:basedOn w:val="Normal"/>
    <w:rsid w:val="0065322B"/>
    <w:pPr>
      <w:pBdr>
        <w:left w:val="double" w:sz="6" w:space="0" w:color="auto"/>
        <w:bottom w:val="single" w:sz="4" w:space="0" w:color="auto"/>
      </w:pBdr>
      <w:shd w:val="clear" w:color="000000" w:fill="E2EFDA"/>
      <w:spacing w:before="100" w:beforeAutospacing="1" w:after="100" w:afterAutospacing="1"/>
      <w:jc w:val="center"/>
      <w:textAlignment w:val="top"/>
    </w:pPr>
    <w:rPr>
      <w:b/>
      <w:bCs/>
    </w:rPr>
  </w:style>
  <w:style w:type="paragraph" w:customStyle="1" w:styleId="xl127">
    <w:name w:val="xl127"/>
    <w:basedOn w:val="Normal"/>
    <w:rsid w:val="0065322B"/>
    <w:pPr>
      <w:pBdr>
        <w:top w:val="single" w:sz="4" w:space="0" w:color="auto"/>
        <w:left w:val="single" w:sz="4" w:space="0" w:color="auto"/>
      </w:pBdr>
      <w:shd w:val="clear" w:color="000000" w:fill="E2EFDA"/>
      <w:spacing w:before="100" w:beforeAutospacing="1" w:after="100" w:afterAutospacing="1"/>
      <w:jc w:val="center"/>
      <w:textAlignment w:val="center"/>
    </w:pPr>
    <w:rPr>
      <w:b/>
      <w:bCs/>
    </w:rPr>
  </w:style>
  <w:style w:type="paragraph" w:customStyle="1" w:styleId="xl128">
    <w:name w:val="xl128"/>
    <w:basedOn w:val="Normal"/>
    <w:rsid w:val="0065322B"/>
    <w:pPr>
      <w:pBdr>
        <w:left w:val="single" w:sz="4" w:space="0" w:color="auto"/>
      </w:pBdr>
      <w:shd w:val="clear" w:color="000000" w:fill="E2EFDA"/>
      <w:spacing w:before="100" w:beforeAutospacing="1" w:after="100" w:afterAutospacing="1"/>
      <w:jc w:val="center"/>
      <w:textAlignment w:val="center"/>
    </w:pPr>
    <w:rPr>
      <w:b/>
      <w:bCs/>
    </w:rPr>
  </w:style>
  <w:style w:type="paragraph" w:customStyle="1" w:styleId="xl129">
    <w:name w:val="xl129"/>
    <w:basedOn w:val="Normal"/>
    <w:rsid w:val="0065322B"/>
    <w:pPr>
      <w:pBdr>
        <w:left w:val="single" w:sz="4" w:space="0" w:color="auto"/>
        <w:bottom w:val="double" w:sz="6" w:space="0" w:color="auto"/>
      </w:pBdr>
      <w:shd w:val="clear" w:color="000000" w:fill="E2EFDA"/>
      <w:spacing w:before="100" w:beforeAutospacing="1" w:after="100" w:afterAutospacing="1"/>
      <w:jc w:val="center"/>
      <w:textAlignment w:val="center"/>
    </w:pPr>
    <w:rPr>
      <w:b/>
      <w:bCs/>
    </w:rPr>
  </w:style>
  <w:style w:type="paragraph" w:customStyle="1" w:styleId="xl130">
    <w:name w:val="xl130"/>
    <w:basedOn w:val="Normal"/>
    <w:rsid w:val="0065322B"/>
    <w:pPr>
      <w:pBdr>
        <w:top w:val="single" w:sz="4" w:space="0" w:color="auto"/>
        <w:left w:val="double" w:sz="6" w:space="0" w:color="auto"/>
        <w:bottom w:val="single" w:sz="4" w:space="0" w:color="auto"/>
      </w:pBdr>
      <w:shd w:val="pct12" w:color="BFBFBF" w:fill="EBEEF1"/>
      <w:spacing w:before="100" w:beforeAutospacing="1" w:after="100" w:afterAutospacing="1"/>
      <w:jc w:val="center"/>
      <w:textAlignment w:val="top"/>
    </w:pPr>
    <w:rPr>
      <w:b/>
      <w:bCs/>
    </w:rPr>
  </w:style>
  <w:style w:type="paragraph" w:customStyle="1" w:styleId="xl131">
    <w:name w:val="xl131"/>
    <w:basedOn w:val="Normal"/>
    <w:rsid w:val="0065322B"/>
    <w:pPr>
      <w:pBdr>
        <w:top w:val="single" w:sz="4" w:space="0" w:color="auto"/>
        <w:bottom w:val="single" w:sz="4" w:space="0" w:color="auto"/>
      </w:pBdr>
      <w:shd w:val="pct12" w:color="BFBFBF" w:fill="EBEEF1"/>
      <w:spacing w:before="100" w:beforeAutospacing="1" w:after="100" w:afterAutospacing="1"/>
      <w:jc w:val="center"/>
      <w:textAlignment w:val="top"/>
    </w:pPr>
    <w:rPr>
      <w:b/>
      <w:bCs/>
    </w:rPr>
  </w:style>
  <w:style w:type="paragraph" w:customStyle="1" w:styleId="xl132">
    <w:name w:val="xl132"/>
    <w:basedOn w:val="Normal"/>
    <w:rsid w:val="0065322B"/>
    <w:pPr>
      <w:pBdr>
        <w:top w:val="single" w:sz="4" w:space="0" w:color="auto"/>
        <w:bottom w:val="single" w:sz="4" w:space="0" w:color="auto"/>
        <w:right w:val="double" w:sz="6" w:space="0" w:color="auto"/>
      </w:pBdr>
      <w:shd w:val="pct12" w:color="BFBFBF" w:fill="EBEEF1"/>
      <w:spacing w:before="100" w:beforeAutospacing="1" w:after="100" w:afterAutospacing="1"/>
      <w:jc w:val="center"/>
      <w:textAlignment w:val="top"/>
    </w:pPr>
    <w:rPr>
      <w:b/>
      <w:bCs/>
    </w:rPr>
  </w:style>
  <w:style w:type="paragraph" w:customStyle="1" w:styleId="xl133">
    <w:name w:val="xl133"/>
    <w:basedOn w:val="Normal"/>
    <w:rsid w:val="0065322B"/>
    <w:pPr>
      <w:pBdr>
        <w:top w:val="single" w:sz="4" w:space="0" w:color="auto"/>
        <w:left w:val="double" w:sz="6"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Normal"/>
    <w:rsid w:val="0065322B"/>
    <w:pPr>
      <w:pBdr>
        <w:left w:val="double" w:sz="6"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Normal"/>
    <w:rsid w:val="0065322B"/>
    <w:pPr>
      <w:pBdr>
        <w:left w:val="double" w:sz="6" w:space="0" w:color="auto"/>
        <w:bottom w:val="double" w:sz="6" w:space="0" w:color="auto"/>
        <w:right w:val="single" w:sz="4" w:space="0" w:color="auto"/>
      </w:pBdr>
      <w:spacing w:before="100" w:beforeAutospacing="1" w:after="100" w:afterAutospacing="1"/>
      <w:jc w:val="center"/>
      <w:textAlignment w:val="top"/>
    </w:pPr>
    <w:rPr>
      <w:b/>
      <w:bCs/>
    </w:rPr>
  </w:style>
  <w:style w:type="paragraph" w:customStyle="1" w:styleId="xl136">
    <w:name w:val="xl136"/>
    <w:basedOn w:val="Normal"/>
    <w:rsid w:val="0065322B"/>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37">
    <w:name w:val="xl137"/>
    <w:basedOn w:val="Normal"/>
    <w:rsid w:val="0065322B"/>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65322B"/>
    <w:pPr>
      <w:pBdr>
        <w:left w:val="single" w:sz="4" w:space="0" w:color="auto"/>
        <w:bottom w:val="double" w:sz="6" w:space="0" w:color="auto"/>
        <w:right w:val="single" w:sz="4" w:space="0" w:color="auto"/>
      </w:pBdr>
      <w:spacing w:before="100" w:beforeAutospacing="1" w:after="100" w:afterAutospacing="1"/>
      <w:jc w:val="center"/>
      <w:textAlignment w:val="top"/>
    </w:pPr>
    <w:rPr>
      <w:b/>
      <w:bCs/>
    </w:rPr>
  </w:style>
  <w:style w:type="paragraph" w:customStyle="1" w:styleId="xl139">
    <w:name w:val="xl139"/>
    <w:basedOn w:val="Normal"/>
    <w:rsid w:val="0065322B"/>
    <w:pPr>
      <w:pBdr>
        <w:top w:val="single" w:sz="4" w:space="0" w:color="auto"/>
        <w:left w:val="single" w:sz="4" w:space="0" w:color="auto"/>
      </w:pBdr>
      <w:shd w:val="clear" w:color="000000" w:fill="EBEEF1"/>
      <w:spacing w:before="100" w:beforeAutospacing="1" w:after="100" w:afterAutospacing="1"/>
      <w:jc w:val="center"/>
      <w:textAlignment w:val="center"/>
    </w:pPr>
    <w:rPr>
      <w:b/>
      <w:bCs/>
    </w:rPr>
  </w:style>
  <w:style w:type="paragraph" w:customStyle="1" w:styleId="xl140">
    <w:name w:val="xl140"/>
    <w:basedOn w:val="Normal"/>
    <w:rsid w:val="0065322B"/>
    <w:pPr>
      <w:pBdr>
        <w:left w:val="single" w:sz="4" w:space="0" w:color="auto"/>
        <w:bottom w:val="double" w:sz="6" w:space="0" w:color="auto"/>
      </w:pBdr>
      <w:shd w:val="clear" w:color="000000" w:fill="EBEEF1"/>
      <w:spacing w:before="100" w:beforeAutospacing="1" w:after="100" w:afterAutospacing="1"/>
      <w:jc w:val="center"/>
      <w:textAlignment w:val="center"/>
    </w:pPr>
    <w:rPr>
      <w:b/>
      <w:bCs/>
    </w:rPr>
  </w:style>
  <w:style w:type="character" w:customStyle="1" w:styleId="BezproredaChar">
    <w:name w:val="Bez proreda Char"/>
    <w:basedOn w:val="Zadanifontodlomka"/>
    <w:link w:val="Bezproreda"/>
    <w:uiPriority w:val="1"/>
    <w:rsid w:val="00874E4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099">
      <w:bodyDiv w:val="1"/>
      <w:marLeft w:val="0"/>
      <w:marRight w:val="0"/>
      <w:marTop w:val="0"/>
      <w:marBottom w:val="0"/>
      <w:divBdr>
        <w:top w:val="none" w:sz="0" w:space="0" w:color="auto"/>
        <w:left w:val="none" w:sz="0" w:space="0" w:color="auto"/>
        <w:bottom w:val="none" w:sz="0" w:space="0" w:color="auto"/>
        <w:right w:val="none" w:sz="0" w:space="0" w:color="auto"/>
      </w:divBdr>
    </w:div>
    <w:div w:id="21135005">
      <w:bodyDiv w:val="1"/>
      <w:marLeft w:val="0"/>
      <w:marRight w:val="0"/>
      <w:marTop w:val="0"/>
      <w:marBottom w:val="0"/>
      <w:divBdr>
        <w:top w:val="none" w:sz="0" w:space="0" w:color="auto"/>
        <w:left w:val="none" w:sz="0" w:space="0" w:color="auto"/>
        <w:bottom w:val="none" w:sz="0" w:space="0" w:color="auto"/>
        <w:right w:val="none" w:sz="0" w:space="0" w:color="auto"/>
      </w:divBdr>
    </w:div>
    <w:div w:id="90977636">
      <w:bodyDiv w:val="1"/>
      <w:marLeft w:val="0"/>
      <w:marRight w:val="0"/>
      <w:marTop w:val="0"/>
      <w:marBottom w:val="0"/>
      <w:divBdr>
        <w:top w:val="none" w:sz="0" w:space="0" w:color="auto"/>
        <w:left w:val="none" w:sz="0" w:space="0" w:color="auto"/>
        <w:bottom w:val="none" w:sz="0" w:space="0" w:color="auto"/>
        <w:right w:val="none" w:sz="0" w:space="0" w:color="auto"/>
      </w:divBdr>
    </w:div>
    <w:div w:id="100538773">
      <w:bodyDiv w:val="1"/>
      <w:marLeft w:val="0"/>
      <w:marRight w:val="0"/>
      <w:marTop w:val="0"/>
      <w:marBottom w:val="0"/>
      <w:divBdr>
        <w:top w:val="none" w:sz="0" w:space="0" w:color="auto"/>
        <w:left w:val="none" w:sz="0" w:space="0" w:color="auto"/>
        <w:bottom w:val="none" w:sz="0" w:space="0" w:color="auto"/>
        <w:right w:val="none" w:sz="0" w:space="0" w:color="auto"/>
      </w:divBdr>
    </w:div>
    <w:div w:id="167982914">
      <w:bodyDiv w:val="1"/>
      <w:marLeft w:val="0"/>
      <w:marRight w:val="0"/>
      <w:marTop w:val="0"/>
      <w:marBottom w:val="0"/>
      <w:divBdr>
        <w:top w:val="none" w:sz="0" w:space="0" w:color="auto"/>
        <w:left w:val="none" w:sz="0" w:space="0" w:color="auto"/>
        <w:bottom w:val="none" w:sz="0" w:space="0" w:color="auto"/>
        <w:right w:val="none" w:sz="0" w:space="0" w:color="auto"/>
      </w:divBdr>
    </w:div>
    <w:div w:id="205413572">
      <w:bodyDiv w:val="1"/>
      <w:marLeft w:val="0"/>
      <w:marRight w:val="0"/>
      <w:marTop w:val="0"/>
      <w:marBottom w:val="0"/>
      <w:divBdr>
        <w:top w:val="none" w:sz="0" w:space="0" w:color="auto"/>
        <w:left w:val="none" w:sz="0" w:space="0" w:color="auto"/>
        <w:bottom w:val="none" w:sz="0" w:space="0" w:color="auto"/>
        <w:right w:val="none" w:sz="0" w:space="0" w:color="auto"/>
      </w:divBdr>
    </w:div>
    <w:div w:id="253172765">
      <w:bodyDiv w:val="1"/>
      <w:marLeft w:val="0"/>
      <w:marRight w:val="0"/>
      <w:marTop w:val="0"/>
      <w:marBottom w:val="0"/>
      <w:divBdr>
        <w:top w:val="none" w:sz="0" w:space="0" w:color="auto"/>
        <w:left w:val="none" w:sz="0" w:space="0" w:color="auto"/>
        <w:bottom w:val="none" w:sz="0" w:space="0" w:color="auto"/>
        <w:right w:val="none" w:sz="0" w:space="0" w:color="auto"/>
      </w:divBdr>
    </w:div>
    <w:div w:id="257326505">
      <w:bodyDiv w:val="1"/>
      <w:marLeft w:val="0"/>
      <w:marRight w:val="0"/>
      <w:marTop w:val="0"/>
      <w:marBottom w:val="0"/>
      <w:divBdr>
        <w:top w:val="none" w:sz="0" w:space="0" w:color="auto"/>
        <w:left w:val="none" w:sz="0" w:space="0" w:color="auto"/>
        <w:bottom w:val="none" w:sz="0" w:space="0" w:color="auto"/>
        <w:right w:val="none" w:sz="0" w:space="0" w:color="auto"/>
      </w:divBdr>
    </w:div>
    <w:div w:id="258831855">
      <w:bodyDiv w:val="1"/>
      <w:marLeft w:val="0"/>
      <w:marRight w:val="0"/>
      <w:marTop w:val="0"/>
      <w:marBottom w:val="0"/>
      <w:divBdr>
        <w:top w:val="none" w:sz="0" w:space="0" w:color="auto"/>
        <w:left w:val="none" w:sz="0" w:space="0" w:color="auto"/>
        <w:bottom w:val="none" w:sz="0" w:space="0" w:color="auto"/>
        <w:right w:val="none" w:sz="0" w:space="0" w:color="auto"/>
      </w:divBdr>
    </w:div>
    <w:div w:id="316425229">
      <w:bodyDiv w:val="1"/>
      <w:marLeft w:val="0"/>
      <w:marRight w:val="0"/>
      <w:marTop w:val="0"/>
      <w:marBottom w:val="0"/>
      <w:divBdr>
        <w:top w:val="none" w:sz="0" w:space="0" w:color="auto"/>
        <w:left w:val="none" w:sz="0" w:space="0" w:color="auto"/>
        <w:bottom w:val="none" w:sz="0" w:space="0" w:color="auto"/>
        <w:right w:val="none" w:sz="0" w:space="0" w:color="auto"/>
      </w:divBdr>
    </w:div>
    <w:div w:id="317615753">
      <w:bodyDiv w:val="1"/>
      <w:marLeft w:val="0"/>
      <w:marRight w:val="0"/>
      <w:marTop w:val="0"/>
      <w:marBottom w:val="0"/>
      <w:divBdr>
        <w:top w:val="none" w:sz="0" w:space="0" w:color="auto"/>
        <w:left w:val="none" w:sz="0" w:space="0" w:color="auto"/>
        <w:bottom w:val="none" w:sz="0" w:space="0" w:color="auto"/>
        <w:right w:val="none" w:sz="0" w:space="0" w:color="auto"/>
      </w:divBdr>
    </w:div>
    <w:div w:id="445778621">
      <w:bodyDiv w:val="1"/>
      <w:marLeft w:val="0"/>
      <w:marRight w:val="0"/>
      <w:marTop w:val="0"/>
      <w:marBottom w:val="0"/>
      <w:divBdr>
        <w:top w:val="none" w:sz="0" w:space="0" w:color="auto"/>
        <w:left w:val="none" w:sz="0" w:space="0" w:color="auto"/>
        <w:bottom w:val="none" w:sz="0" w:space="0" w:color="auto"/>
        <w:right w:val="none" w:sz="0" w:space="0" w:color="auto"/>
      </w:divBdr>
    </w:div>
    <w:div w:id="445932137">
      <w:bodyDiv w:val="1"/>
      <w:marLeft w:val="0"/>
      <w:marRight w:val="0"/>
      <w:marTop w:val="0"/>
      <w:marBottom w:val="0"/>
      <w:divBdr>
        <w:top w:val="none" w:sz="0" w:space="0" w:color="auto"/>
        <w:left w:val="none" w:sz="0" w:space="0" w:color="auto"/>
        <w:bottom w:val="none" w:sz="0" w:space="0" w:color="auto"/>
        <w:right w:val="none" w:sz="0" w:space="0" w:color="auto"/>
      </w:divBdr>
    </w:div>
    <w:div w:id="484396093">
      <w:bodyDiv w:val="1"/>
      <w:marLeft w:val="0"/>
      <w:marRight w:val="0"/>
      <w:marTop w:val="0"/>
      <w:marBottom w:val="0"/>
      <w:divBdr>
        <w:top w:val="none" w:sz="0" w:space="0" w:color="auto"/>
        <w:left w:val="none" w:sz="0" w:space="0" w:color="auto"/>
        <w:bottom w:val="none" w:sz="0" w:space="0" w:color="auto"/>
        <w:right w:val="none" w:sz="0" w:space="0" w:color="auto"/>
      </w:divBdr>
    </w:div>
    <w:div w:id="494566542">
      <w:bodyDiv w:val="1"/>
      <w:marLeft w:val="0"/>
      <w:marRight w:val="0"/>
      <w:marTop w:val="0"/>
      <w:marBottom w:val="0"/>
      <w:divBdr>
        <w:top w:val="none" w:sz="0" w:space="0" w:color="auto"/>
        <w:left w:val="none" w:sz="0" w:space="0" w:color="auto"/>
        <w:bottom w:val="none" w:sz="0" w:space="0" w:color="auto"/>
        <w:right w:val="none" w:sz="0" w:space="0" w:color="auto"/>
      </w:divBdr>
    </w:div>
    <w:div w:id="527450868">
      <w:bodyDiv w:val="1"/>
      <w:marLeft w:val="0"/>
      <w:marRight w:val="0"/>
      <w:marTop w:val="0"/>
      <w:marBottom w:val="0"/>
      <w:divBdr>
        <w:top w:val="none" w:sz="0" w:space="0" w:color="auto"/>
        <w:left w:val="none" w:sz="0" w:space="0" w:color="auto"/>
        <w:bottom w:val="none" w:sz="0" w:space="0" w:color="auto"/>
        <w:right w:val="none" w:sz="0" w:space="0" w:color="auto"/>
      </w:divBdr>
    </w:div>
    <w:div w:id="539977293">
      <w:bodyDiv w:val="1"/>
      <w:marLeft w:val="0"/>
      <w:marRight w:val="0"/>
      <w:marTop w:val="0"/>
      <w:marBottom w:val="0"/>
      <w:divBdr>
        <w:top w:val="none" w:sz="0" w:space="0" w:color="auto"/>
        <w:left w:val="none" w:sz="0" w:space="0" w:color="auto"/>
        <w:bottom w:val="none" w:sz="0" w:space="0" w:color="auto"/>
        <w:right w:val="none" w:sz="0" w:space="0" w:color="auto"/>
      </w:divBdr>
    </w:div>
    <w:div w:id="558975384">
      <w:bodyDiv w:val="1"/>
      <w:marLeft w:val="0"/>
      <w:marRight w:val="0"/>
      <w:marTop w:val="0"/>
      <w:marBottom w:val="0"/>
      <w:divBdr>
        <w:top w:val="none" w:sz="0" w:space="0" w:color="auto"/>
        <w:left w:val="none" w:sz="0" w:space="0" w:color="auto"/>
        <w:bottom w:val="none" w:sz="0" w:space="0" w:color="auto"/>
        <w:right w:val="none" w:sz="0" w:space="0" w:color="auto"/>
      </w:divBdr>
    </w:div>
    <w:div w:id="713776185">
      <w:bodyDiv w:val="1"/>
      <w:marLeft w:val="0"/>
      <w:marRight w:val="0"/>
      <w:marTop w:val="0"/>
      <w:marBottom w:val="0"/>
      <w:divBdr>
        <w:top w:val="none" w:sz="0" w:space="0" w:color="auto"/>
        <w:left w:val="none" w:sz="0" w:space="0" w:color="auto"/>
        <w:bottom w:val="none" w:sz="0" w:space="0" w:color="auto"/>
        <w:right w:val="none" w:sz="0" w:space="0" w:color="auto"/>
      </w:divBdr>
    </w:div>
    <w:div w:id="810295320">
      <w:bodyDiv w:val="1"/>
      <w:marLeft w:val="0"/>
      <w:marRight w:val="0"/>
      <w:marTop w:val="0"/>
      <w:marBottom w:val="0"/>
      <w:divBdr>
        <w:top w:val="none" w:sz="0" w:space="0" w:color="auto"/>
        <w:left w:val="none" w:sz="0" w:space="0" w:color="auto"/>
        <w:bottom w:val="none" w:sz="0" w:space="0" w:color="auto"/>
        <w:right w:val="none" w:sz="0" w:space="0" w:color="auto"/>
      </w:divBdr>
    </w:div>
    <w:div w:id="860319297">
      <w:bodyDiv w:val="1"/>
      <w:marLeft w:val="0"/>
      <w:marRight w:val="0"/>
      <w:marTop w:val="0"/>
      <w:marBottom w:val="0"/>
      <w:divBdr>
        <w:top w:val="none" w:sz="0" w:space="0" w:color="auto"/>
        <w:left w:val="none" w:sz="0" w:space="0" w:color="auto"/>
        <w:bottom w:val="none" w:sz="0" w:space="0" w:color="auto"/>
        <w:right w:val="none" w:sz="0" w:space="0" w:color="auto"/>
      </w:divBdr>
    </w:div>
    <w:div w:id="867185929">
      <w:bodyDiv w:val="1"/>
      <w:marLeft w:val="0"/>
      <w:marRight w:val="0"/>
      <w:marTop w:val="0"/>
      <w:marBottom w:val="0"/>
      <w:divBdr>
        <w:top w:val="none" w:sz="0" w:space="0" w:color="auto"/>
        <w:left w:val="none" w:sz="0" w:space="0" w:color="auto"/>
        <w:bottom w:val="none" w:sz="0" w:space="0" w:color="auto"/>
        <w:right w:val="none" w:sz="0" w:space="0" w:color="auto"/>
      </w:divBdr>
    </w:div>
    <w:div w:id="908735262">
      <w:bodyDiv w:val="1"/>
      <w:marLeft w:val="0"/>
      <w:marRight w:val="0"/>
      <w:marTop w:val="0"/>
      <w:marBottom w:val="0"/>
      <w:divBdr>
        <w:top w:val="none" w:sz="0" w:space="0" w:color="auto"/>
        <w:left w:val="none" w:sz="0" w:space="0" w:color="auto"/>
        <w:bottom w:val="none" w:sz="0" w:space="0" w:color="auto"/>
        <w:right w:val="none" w:sz="0" w:space="0" w:color="auto"/>
      </w:divBdr>
    </w:div>
    <w:div w:id="946619234">
      <w:bodyDiv w:val="1"/>
      <w:marLeft w:val="0"/>
      <w:marRight w:val="0"/>
      <w:marTop w:val="0"/>
      <w:marBottom w:val="0"/>
      <w:divBdr>
        <w:top w:val="none" w:sz="0" w:space="0" w:color="auto"/>
        <w:left w:val="none" w:sz="0" w:space="0" w:color="auto"/>
        <w:bottom w:val="none" w:sz="0" w:space="0" w:color="auto"/>
        <w:right w:val="none" w:sz="0" w:space="0" w:color="auto"/>
      </w:divBdr>
    </w:div>
    <w:div w:id="983658486">
      <w:bodyDiv w:val="1"/>
      <w:marLeft w:val="0"/>
      <w:marRight w:val="0"/>
      <w:marTop w:val="0"/>
      <w:marBottom w:val="0"/>
      <w:divBdr>
        <w:top w:val="none" w:sz="0" w:space="0" w:color="auto"/>
        <w:left w:val="none" w:sz="0" w:space="0" w:color="auto"/>
        <w:bottom w:val="none" w:sz="0" w:space="0" w:color="auto"/>
        <w:right w:val="none" w:sz="0" w:space="0" w:color="auto"/>
      </w:divBdr>
    </w:div>
    <w:div w:id="1007442422">
      <w:bodyDiv w:val="1"/>
      <w:marLeft w:val="0"/>
      <w:marRight w:val="0"/>
      <w:marTop w:val="0"/>
      <w:marBottom w:val="0"/>
      <w:divBdr>
        <w:top w:val="none" w:sz="0" w:space="0" w:color="auto"/>
        <w:left w:val="none" w:sz="0" w:space="0" w:color="auto"/>
        <w:bottom w:val="none" w:sz="0" w:space="0" w:color="auto"/>
        <w:right w:val="none" w:sz="0" w:space="0" w:color="auto"/>
      </w:divBdr>
    </w:div>
    <w:div w:id="1033338804">
      <w:bodyDiv w:val="1"/>
      <w:marLeft w:val="0"/>
      <w:marRight w:val="0"/>
      <w:marTop w:val="0"/>
      <w:marBottom w:val="0"/>
      <w:divBdr>
        <w:top w:val="none" w:sz="0" w:space="0" w:color="auto"/>
        <w:left w:val="none" w:sz="0" w:space="0" w:color="auto"/>
        <w:bottom w:val="none" w:sz="0" w:space="0" w:color="auto"/>
        <w:right w:val="none" w:sz="0" w:space="0" w:color="auto"/>
      </w:divBdr>
    </w:div>
    <w:div w:id="1057049602">
      <w:bodyDiv w:val="1"/>
      <w:marLeft w:val="0"/>
      <w:marRight w:val="0"/>
      <w:marTop w:val="0"/>
      <w:marBottom w:val="0"/>
      <w:divBdr>
        <w:top w:val="none" w:sz="0" w:space="0" w:color="auto"/>
        <w:left w:val="none" w:sz="0" w:space="0" w:color="auto"/>
        <w:bottom w:val="none" w:sz="0" w:space="0" w:color="auto"/>
        <w:right w:val="none" w:sz="0" w:space="0" w:color="auto"/>
      </w:divBdr>
    </w:div>
    <w:div w:id="1116634419">
      <w:bodyDiv w:val="1"/>
      <w:marLeft w:val="0"/>
      <w:marRight w:val="0"/>
      <w:marTop w:val="0"/>
      <w:marBottom w:val="0"/>
      <w:divBdr>
        <w:top w:val="none" w:sz="0" w:space="0" w:color="auto"/>
        <w:left w:val="none" w:sz="0" w:space="0" w:color="auto"/>
        <w:bottom w:val="none" w:sz="0" w:space="0" w:color="auto"/>
        <w:right w:val="none" w:sz="0" w:space="0" w:color="auto"/>
      </w:divBdr>
    </w:div>
    <w:div w:id="1132136769">
      <w:bodyDiv w:val="1"/>
      <w:marLeft w:val="0"/>
      <w:marRight w:val="0"/>
      <w:marTop w:val="0"/>
      <w:marBottom w:val="0"/>
      <w:divBdr>
        <w:top w:val="none" w:sz="0" w:space="0" w:color="auto"/>
        <w:left w:val="none" w:sz="0" w:space="0" w:color="auto"/>
        <w:bottom w:val="none" w:sz="0" w:space="0" w:color="auto"/>
        <w:right w:val="none" w:sz="0" w:space="0" w:color="auto"/>
      </w:divBdr>
    </w:div>
    <w:div w:id="1139223625">
      <w:bodyDiv w:val="1"/>
      <w:marLeft w:val="0"/>
      <w:marRight w:val="0"/>
      <w:marTop w:val="0"/>
      <w:marBottom w:val="0"/>
      <w:divBdr>
        <w:top w:val="none" w:sz="0" w:space="0" w:color="auto"/>
        <w:left w:val="none" w:sz="0" w:space="0" w:color="auto"/>
        <w:bottom w:val="none" w:sz="0" w:space="0" w:color="auto"/>
        <w:right w:val="none" w:sz="0" w:space="0" w:color="auto"/>
      </w:divBdr>
    </w:div>
    <w:div w:id="1203906943">
      <w:bodyDiv w:val="1"/>
      <w:marLeft w:val="0"/>
      <w:marRight w:val="0"/>
      <w:marTop w:val="0"/>
      <w:marBottom w:val="0"/>
      <w:divBdr>
        <w:top w:val="none" w:sz="0" w:space="0" w:color="auto"/>
        <w:left w:val="none" w:sz="0" w:space="0" w:color="auto"/>
        <w:bottom w:val="none" w:sz="0" w:space="0" w:color="auto"/>
        <w:right w:val="none" w:sz="0" w:space="0" w:color="auto"/>
      </w:divBdr>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
    <w:div w:id="1260678649">
      <w:bodyDiv w:val="1"/>
      <w:marLeft w:val="0"/>
      <w:marRight w:val="0"/>
      <w:marTop w:val="0"/>
      <w:marBottom w:val="0"/>
      <w:divBdr>
        <w:top w:val="none" w:sz="0" w:space="0" w:color="auto"/>
        <w:left w:val="none" w:sz="0" w:space="0" w:color="auto"/>
        <w:bottom w:val="none" w:sz="0" w:space="0" w:color="auto"/>
        <w:right w:val="none" w:sz="0" w:space="0" w:color="auto"/>
      </w:divBdr>
    </w:div>
    <w:div w:id="1300763928">
      <w:bodyDiv w:val="1"/>
      <w:marLeft w:val="0"/>
      <w:marRight w:val="0"/>
      <w:marTop w:val="0"/>
      <w:marBottom w:val="0"/>
      <w:divBdr>
        <w:top w:val="none" w:sz="0" w:space="0" w:color="auto"/>
        <w:left w:val="none" w:sz="0" w:space="0" w:color="auto"/>
        <w:bottom w:val="none" w:sz="0" w:space="0" w:color="auto"/>
        <w:right w:val="none" w:sz="0" w:space="0" w:color="auto"/>
      </w:divBdr>
    </w:div>
    <w:div w:id="1350062478">
      <w:bodyDiv w:val="1"/>
      <w:marLeft w:val="0"/>
      <w:marRight w:val="0"/>
      <w:marTop w:val="0"/>
      <w:marBottom w:val="0"/>
      <w:divBdr>
        <w:top w:val="none" w:sz="0" w:space="0" w:color="auto"/>
        <w:left w:val="none" w:sz="0" w:space="0" w:color="auto"/>
        <w:bottom w:val="none" w:sz="0" w:space="0" w:color="auto"/>
        <w:right w:val="none" w:sz="0" w:space="0" w:color="auto"/>
      </w:divBdr>
    </w:div>
    <w:div w:id="1369332732">
      <w:bodyDiv w:val="1"/>
      <w:marLeft w:val="0"/>
      <w:marRight w:val="0"/>
      <w:marTop w:val="0"/>
      <w:marBottom w:val="0"/>
      <w:divBdr>
        <w:top w:val="none" w:sz="0" w:space="0" w:color="auto"/>
        <w:left w:val="none" w:sz="0" w:space="0" w:color="auto"/>
        <w:bottom w:val="none" w:sz="0" w:space="0" w:color="auto"/>
        <w:right w:val="none" w:sz="0" w:space="0" w:color="auto"/>
      </w:divBdr>
    </w:div>
    <w:div w:id="1370643119">
      <w:bodyDiv w:val="1"/>
      <w:marLeft w:val="0"/>
      <w:marRight w:val="0"/>
      <w:marTop w:val="0"/>
      <w:marBottom w:val="0"/>
      <w:divBdr>
        <w:top w:val="none" w:sz="0" w:space="0" w:color="auto"/>
        <w:left w:val="none" w:sz="0" w:space="0" w:color="auto"/>
        <w:bottom w:val="none" w:sz="0" w:space="0" w:color="auto"/>
        <w:right w:val="none" w:sz="0" w:space="0" w:color="auto"/>
      </w:divBdr>
    </w:div>
    <w:div w:id="1378698447">
      <w:bodyDiv w:val="1"/>
      <w:marLeft w:val="0"/>
      <w:marRight w:val="0"/>
      <w:marTop w:val="0"/>
      <w:marBottom w:val="0"/>
      <w:divBdr>
        <w:top w:val="none" w:sz="0" w:space="0" w:color="auto"/>
        <w:left w:val="none" w:sz="0" w:space="0" w:color="auto"/>
        <w:bottom w:val="none" w:sz="0" w:space="0" w:color="auto"/>
        <w:right w:val="none" w:sz="0" w:space="0" w:color="auto"/>
      </w:divBdr>
    </w:div>
    <w:div w:id="1451127590">
      <w:bodyDiv w:val="1"/>
      <w:marLeft w:val="0"/>
      <w:marRight w:val="0"/>
      <w:marTop w:val="0"/>
      <w:marBottom w:val="0"/>
      <w:divBdr>
        <w:top w:val="none" w:sz="0" w:space="0" w:color="auto"/>
        <w:left w:val="none" w:sz="0" w:space="0" w:color="auto"/>
        <w:bottom w:val="none" w:sz="0" w:space="0" w:color="auto"/>
        <w:right w:val="none" w:sz="0" w:space="0" w:color="auto"/>
      </w:divBdr>
    </w:div>
    <w:div w:id="1473214178">
      <w:bodyDiv w:val="1"/>
      <w:marLeft w:val="0"/>
      <w:marRight w:val="0"/>
      <w:marTop w:val="0"/>
      <w:marBottom w:val="0"/>
      <w:divBdr>
        <w:top w:val="none" w:sz="0" w:space="0" w:color="auto"/>
        <w:left w:val="none" w:sz="0" w:space="0" w:color="auto"/>
        <w:bottom w:val="none" w:sz="0" w:space="0" w:color="auto"/>
        <w:right w:val="none" w:sz="0" w:space="0" w:color="auto"/>
      </w:divBdr>
    </w:div>
    <w:div w:id="1572497874">
      <w:bodyDiv w:val="1"/>
      <w:marLeft w:val="0"/>
      <w:marRight w:val="0"/>
      <w:marTop w:val="0"/>
      <w:marBottom w:val="0"/>
      <w:divBdr>
        <w:top w:val="none" w:sz="0" w:space="0" w:color="auto"/>
        <w:left w:val="none" w:sz="0" w:space="0" w:color="auto"/>
        <w:bottom w:val="none" w:sz="0" w:space="0" w:color="auto"/>
        <w:right w:val="none" w:sz="0" w:space="0" w:color="auto"/>
      </w:divBdr>
    </w:div>
    <w:div w:id="157989861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67780301">
      <w:bodyDiv w:val="1"/>
      <w:marLeft w:val="0"/>
      <w:marRight w:val="0"/>
      <w:marTop w:val="0"/>
      <w:marBottom w:val="0"/>
      <w:divBdr>
        <w:top w:val="none" w:sz="0" w:space="0" w:color="auto"/>
        <w:left w:val="none" w:sz="0" w:space="0" w:color="auto"/>
        <w:bottom w:val="none" w:sz="0" w:space="0" w:color="auto"/>
        <w:right w:val="none" w:sz="0" w:space="0" w:color="auto"/>
      </w:divBdr>
    </w:div>
    <w:div w:id="1805347295">
      <w:bodyDiv w:val="1"/>
      <w:marLeft w:val="0"/>
      <w:marRight w:val="0"/>
      <w:marTop w:val="0"/>
      <w:marBottom w:val="0"/>
      <w:divBdr>
        <w:top w:val="none" w:sz="0" w:space="0" w:color="auto"/>
        <w:left w:val="none" w:sz="0" w:space="0" w:color="auto"/>
        <w:bottom w:val="none" w:sz="0" w:space="0" w:color="auto"/>
        <w:right w:val="none" w:sz="0" w:space="0" w:color="auto"/>
      </w:divBdr>
    </w:div>
    <w:div w:id="1807625127">
      <w:bodyDiv w:val="1"/>
      <w:marLeft w:val="0"/>
      <w:marRight w:val="0"/>
      <w:marTop w:val="0"/>
      <w:marBottom w:val="0"/>
      <w:divBdr>
        <w:top w:val="none" w:sz="0" w:space="0" w:color="auto"/>
        <w:left w:val="none" w:sz="0" w:space="0" w:color="auto"/>
        <w:bottom w:val="none" w:sz="0" w:space="0" w:color="auto"/>
        <w:right w:val="none" w:sz="0" w:space="0" w:color="auto"/>
      </w:divBdr>
    </w:div>
    <w:div w:id="1851523988">
      <w:bodyDiv w:val="1"/>
      <w:marLeft w:val="0"/>
      <w:marRight w:val="0"/>
      <w:marTop w:val="0"/>
      <w:marBottom w:val="0"/>
      <w:divBdr>
        <w:top w:val="none" w:sz="0" w:space="0" w:color="auto"/>
        <w:left w:val="none" w:sz="0" w:space="0" w:color="auto"/>
        <w:bottom w:val="none" w:sz="0" w:space="0" w:color="auto"/>
        <w:right w:val="none" w:sz="0" w:space="0" w:color="auto"/>
      </w:divBdr>
    </w:div>
    <w:div w:id="2010791142">
      <w:bodyDiv w:val="1"/>
      <w:marLeft w:val="0"/>
      <w:marRight w:val="0"/>
      <w:marTop w:val="0"/>
      <w:marBottom w:val="0"/>
      <w:divBdr>
        <w:top w:val="none" w:sz="0" w:space="0" w:color="auto"/>
        <w:left w:val="none" w:sz="0" w:space="0" w:color="auto"/>
        <w:bottom w:val="none" w:sz="0" w:space="0" w:color="auto"/>
        <w:right w:val="none" w:sz="0" w:space="0" w:color="auto"/>
      </w:divBdr>
    </w:div>
    <w:div w:id="204813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1.emf"/><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image" Target="media/image16.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4.xml"/><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500D0B057F4A44A7525891DF082189"/>
        <w:category>
          <w:name w:val="Općenito"/>
          <w:gallery w:val="placeholder"/>
        </w:category>
        <w:types>
          <w:type w:val="bbPlcHdr"/>
        </w:types>
        <w:behaviors>
          <w:behavior w:val="content"/>
        </w:behaviors>
        <w:guid w:val="{16E10E4D-0D5F-4AAF-80F6-B88E717DBF07}"/>
      </w:docPartPr>
      <w:docPartBody>
        <w:p w:rsidR="005F5131" w:rsidRDefault="007A4A95" w:rsidP="007A4A95">
          <w:pPr>
            <w:pStyle w:val="AC500D0B057F4A44A7525891DF082189"/>
          </w:pPr>
          <w:r>
            <w:rPr>
              <w:rFonts w:asciiTheme="majorHAnsi" w:eastAsiaTheme="majorEastAsia" w:hAnsiTheme="majorHAnsi" w:cstheme="majorBidi"/>
              <w:caps/>
              <w:color w:val="4472C4" w:themeColor="accent1"/>
              <w:sz w:val="80"/>
              <w:szCs w:val="80"/>
            </w:rPr>
            <w:t>[naslov dokumenta]</w:t>
          </w:r>
        </w:p>
      </w:docPartBody>
    </w:docPart>
    <w:docPart>
      <w:docPartPr>
        <w:name w:val="6A13E6B1819B45488793B3437BAECAD9"/>
        <w:category>
          <w:name w:val="Općenito"/>
          <w:gallery w:val="placeholder"/>
        </w:category>
        <w:types>
          <w:type w:val="bbPlcHdr"/>
        </w:types>
        <w:behaviors>
          <w:behavior w:val="content"/>
        </w:behaviors>
        <w:guid w:val="{AA4E560E-DD05-46AF-B3E7-E60B38E28479}"/>
      </w:docPartPr>
      <w:docPartBody>
        <w:p w:rsidR="005F5131" w:rsidRDefault="007A4A95" w:rsidP="007A4A95">
          <w:pPr>
            <w:pStyle w:val="6A13E6B1819B45488793B3437BAECAD9"/>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95"/>
    <w:rsid w:val="0003259D"/>
    <w:rsid w:val="0021296B"/>
    <w:rsid w:val="002B190E"/>
    <w:rsid w:val="00427C5D"/>
    <w:rsid w:val="00553CB7"/>
    <w:rsid w:val="005F5131"/>
    <w:rsid w:val="007A4A95"/>
    <w:rsid w:val="00965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C500D0B057F4A44A7525891DF082189">
    <w:name w:val="AC500D0B057F4A44A7525891DF082189"/>
    <w:rsid w:val="007A4A95"/>
  </w:style>
  <w:style w:type="paragraph" w:customStyle="1" w:styleId="6A13E6B1819B45488793B3437BAECAD9">
    <w:name w:val="6A13E6B1819B45488793B3437BAECAD9"/>
    <w:rsid w:val="007A4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svibnja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8543E8-1F5C-490A-A1DA-0DB567CF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9855</Words>
  <Characters>56175</Characters>
  <Application>Microsoft Office Word</Application>
  <DocSecurity>0</DocSecurity>
  <Lines>468</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GODIŠNJI IZVJEŠTAJ O IZVRŠENJU PRORAČUNA MEĐIMURSKE ŽUPANIJE ZA 2024. GODINU</dc:title>
  <dc:subject>Obrazloženje 01. siječnja 2024. – 31. prosinca 2024. godine</dc:subject>
  <dc:creator>korisnik</dc:creator>
  <cp:keywords/>
  <dc:description/>
  <cp:lastModifiedBy>Anita Strniščak</cp:lastModifiedBy>
  <cp:revision>2</cp:revision>
  <cp:lastPrinted>2025-06-03T11:11:00Z</cp:lastPrinted>
  <dcterms:created xsi:type="dcterms:W3CDTF">2025-06-04T11:22:00Z</dcterms:created>
  <dcterms:modified xsi:type="dcterms:W3CDTF">2025-06-04T11:22:00Z</dcterms:modified>
</cp:coreProperties>
</file>