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59" w:rsidRDefault="004772B2">
      <w:pPr>
        <w:pStyle w:val="Standard"/>
        <w:spacing w:after="120" w:line="240" w:lineRule="auto"/>
        <w:jc w:val="both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2147038" cy="1487161"/>
            <wp:effectExtent l="0" t="0" r="5612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038" cy="1487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KLASA: 112-02/25-01/3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URBROJ:2109-05-25-03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Čakovec, 4. ožujka 2025.</w:t>
      </w: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  <w:b/>
        </w:rPr>
      </w:pPr>
    </w:p>
    <w:p w:rsidR="00A60E59" w:rsidRDefault="00A60E59">
      <w:pPr>
        <w:pStyle w:val="Standard"/>
        <w:spacing w:after="120" w:line="240" w:lineRule="auto"/>
        <w:jc w:val="center"/>
        <w:rPr>
          <w:rFonts w:ascii="Arial" w:eastAsia="MS PGothic" w:hAnsi="Arial" w:cs="Arial"/>
          <w:b/>
        </w:rPr>
      </w:pPr>
    </w:p>
    <w:p w:rsidR="00A60E59" w:rsidRDefault="004772B2">
      <w:pPr>
        <w:pStyle w:val="Standard"/>
        <w:spacing w:after="120" w:line="240" w:lineRule="auto"/>
        <w:jc w:val="center"/>
      </w:pPr>
      <w:r>
        <w:rPr>
          <w:rFonts w:ascii="Arial" w:eastAsia="MS PGothic" w:hAnsi="Arial" w:cs="Arial"/>
          <w:b/>
        </w:rPr>
        <w:t>OBAVIJESTI I UPUTE KANDIDATIMA</w:t>
      </w:r>
    </w:p>
    <w:p w:rsidR="00A60E59" w:rsidRDefault="004772B2">
      <w:pPr>
        <w:pStyle w:val="Standard"/>
        <w:spacing w:after="120" w:line="240" w:lineRule="auto"/>
        <w:jc w:val="center"/>
      </w:pPr>
      <w:r>
        <w:rPr>
          <w:rFonts w:ascii="Arial" w:eastAsia="MS PGothic" w:hAnsi="Arial" w:cs="Arial"/>
          <w:b/>
        </w:rPr>
        <w:t xml:space="preserve">za prijam u službu samostalnog upravnog referenta za imovinsko-pravne poslove U </w:t>
      </w:r>
      <w:r>
        <w:rPr>
          <w:rFonts w:ascii="Arial" w:eastAsia="MS PGothic" w:hAnsi="Arial" w:cs="Arial"/>
          <w:b/>
        </w:rPr>
        <w:t>Upravni odjel za Skupštinu, opću upravu i pravne poslove</w:t>
      </w:r>
    </w:p>
    <w:p w:rsidR="00A60E59" w:rsidRDefault="00A60E59">
      <w:pPr>
        <w:pStyle w:val="Standard"/>
        <w:spacing w:after="120" w:line="240" w:lineRule="auto"/>
        <w:jc w:val="center"/>
        <w:rPr>
          <w:rFonts w:ascii="Arial" w:eastAsia="MS PGothic" w:hAnsi="Arial" w:cs="Arial"/>
          <w:b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U Narodnim novinama broj 38/24. od 5. ožujka 2025. godine objavljen je javni natječaj za prijam u službu samostalnog upravnog referenta za imovinsko-pravne poslove, na neodređeno vrijeme, te se daju</w:t>
      </w:r>
      <w:r>
        <w:rPr>
          <w:rFonts w:ascii="Arial" w:eastAsia="MS PGothic" w:hAnsi="Arial" w:cs="Arial"/>
        </w:rPr>
        <w:t xml:space="preserve"> upute kako slijedi.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Rok za podnošenje prijava kandidata na javni natječaj je 8 dana od objave u Narodnim novinama.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  <w:i/>
          <w:iCs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Izrazi koji se koriste u ovoj obavijesti za osobe u muškom rodu uporabljeni su neutralno i odnose se na muške i ženske osobe.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  <w:u w:val="single"/>
        </w:rPr>
        <w:t>Opis poslov</w:t>
      </w:r>
      <w:r>
        <w:rPr>
          <w:rFonts w:ascii="Arial" w:eastAsia="MS PGothic" w:hAnsi="Arial" w:cs="Arial"/>
          <w:u w:val="single"/>
        </w:rPr>
        <w:t>a samostalnog upravnog referenta za imovinsko-pravne poslove: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rješava u upravnim stvarima u postupcima izvlaštenja i sklapa nagodbe koje se odnose na potpuno i nepotpuno izvlaštenje nekretnina i obavljanje ostalih poslova vezanih za ograničenje prava </w:t>
            </w:r>
            <w:r>
              <w:rPr>
                <w:rFonts w:ascii="Arial" w:hAnsi="Arial" w:cs="Arial"/>
              </w:rPr>
              <w:t>vlasništva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obavlja poslove upravljanja nekretninama u vlasništvu Republike Hrvatske sukladno pozitivnim propisima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provodi drugostupanjske žalbene postupke propisane posebnim propisima u nadležnosti županije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hd w:val="clear" w:color="auto" w:fill="FDFCFA"/>
              </w:rPr>
              <w:t>rješava u složenim upravnim i neupravnim stvar</w:t>
            </w:r>
            <w:r>
              <w:rPr>
                <w:rFonts w:ascii="Arial" w:hAnsi="Arial" w:cs="Arial"/>
                <w:color w:val="000000"/>
                <w:shd w:val="clear" w:color="auto" w:fill="FDFCFA"/>
              </w:rPr>
              <w:t>ima u postupcima utvrđivanja prava na stambeno zbrinjavanje na područjima posebne državne skrbi i na potpomognutim područjima te u postupcima utvrđivanja statusnih prava izbjeglica, prognanika i povratnika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rješava u upravnim stvarima koje se odnose na nak</w:t>
            </w:r>
            <w:r>
              <w:rPr>
                <w:rFonts w:ascii="Arial" w:hAnsi="Arial" w:cs="Arial"/>
              </w:rPr>
              <w:t>nadu za imovinu oduzetu za vrijeme komunističke vladavine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izdaje potvrde o činjenici jesu li nekretnine predmet postupka povrata imovine</w:t>
            </w:r>
          </w:p>
        </w:tc>
      </w:tr>
      <w:tr w:rsidR="00A60E59">
        <w:tblPrEx>
          <w:tblCellMar>
            <w:top w:w="0" w:type="dxa"/>
            <w:bottom w:w="0" w:type="dxa"/>
          </w:tblCellMar>
        </w:tblPrEx>
        <w:tc>
          <w:tcPr>
            <w:tcW w:w="9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E59" w:rsidRDefault="004772B2">
            <w:pPr>
              <w:pStyle w:val="Odlomakpopisa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obavlja i druge poslove po nalogu pročelnika i drugih nadređenih službenika</w:t>
            </w:r>
          </w:p>
        </w:tc>
      </w:tr>
    </w:tbl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0" w:line="240" w:lineRule="auto"/>
        <w:ind w:firstLine="644"/>
        <w:jc w:val="both"/>
        <w:rPr>
          <w:rFonts w:ascii="Arial" w:eastAsia="MS PGothic" w:hAnsi="Arial" w:cs="Arial"/>
          <w:u w:val="single"/>
        </w:rPr>
      </w:pPr>
    </w:p>
    <w:p w:rsidR="00A60E59" w:rsidRDefault="004772B2">
      <w:pPr>
        <w:pStyle w:val="Standard"/>
        <w:spacing w:after="0" w:line="240" w:lineRule="auto"/>
        <w:ind w:firstLine="644"/>
        <w:jc w:val="both"/>
      </w:pPr>
      <w:r>
        <w:rPr>
          <w:rFonts w:ascii="Arial" w:eastAsia="MS PGothic" w:hAnsi="Arial" w:cs="Arial"/>
          <w:u w:val="single"/>
        </w:rPr>
        <w:t xml:space="preserve">Podaci o plaći samostalnog upravnog </w:t>
      </w:r>
      <w:r>
        <w:rPr>
          <w:rFonts w:ascii="Arial" w:eastAsia="MS PGothic" w:hAnsi="Arial" w:cs="Arial"/>
          <w:u w:val="single"/>
        </w:rPr>
        <w:t>referenta za imovinsko-pravne poslove</w:t>
      </w:r>
      <w:r>
        <w:rPr>
          <w:rFonts w:ascii="Arial" w:eastAsia="MS PGothic" w:hAnsi="Arial" w:cs="Arial"/>
        </w:rPr>
        <w:t>: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Koeficijent za predmetno radno mjesto je 4,60 dok je bruto osnovica za obračun plaće 450,00 EUR. Plaću čini umnožak koeficijenta i osnovice za obračun plaće, uvećan za 0,5% za svaku navršenu godinu radnog staža.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  <w:u w:val="single"/>
        </w:rPr>
      </w:pP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  <w:u w:val="single"/>
        </w:rPr>
      </w:pP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  <w:u w:val="single"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  <w:u w:val="single"/>
        </w:rPr>
        <w:t>Na</w:t>
      </w:r>
      <w:r>
        <w:rPr>
          <w:rFonts w:ascii="Arial" w:eastAsia="MS PGothic" w:hAnsi="Arial" w:cs="Arial"/>
          <w:u w:val="single"/>
        </w:rPr>
        <w:t>čin obavljanja prethodne provjere znanja i sposobnosti kandidata</w:t>
      </w:r>
      <w:r>
        <w:rPr>
          <w:rFonts w:ascii="Arial" w:eastAsia="MS PGothic" w:hAnsi="Arial" w:cs="Arial"/>
        </w:rPr>
        <w:t>: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Za kandidate prijavljene na natječaj koji su podnijeli pravodobne i uredne prijave te ispunjavaju formalne uvjete provest će se postupak prethodne provjere znanja i sposobnosti koji obuhvaća</w:t>
      </w:r>
      <w:r>
        <w:rPr>
          <w:rFonts w:ascii="Arial" w:eastAsia="MS PGothic" w:hAnsi="Arial" w:cs="Arial"/>
        </w:rPr>
        <w:t xml:space="preserve"> pisano testiranje i intervju.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Smatra se da je kandidat koji nije pristupio prethodnoj provjeri znanja i sposobnosti povukao prijavu na natječaj.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Postupak testiranja i intervjua provest će Povjerenstvo za provođenje javnog natječaja. Pisano testiranje obuh</w:t>
      </w:r>
      <w:r>
        <w:rPr>
          <w:rFonts w:ascii="Arial" w:eastAsia="MS PGothic" w:hAnsi="Arial" w:cs="Arial"/>
        </w:rPr>
        <w:t>vaća provjeru znanja iz pravnih i stručnih izvora iz područja rada Službe za poslove župana. Za svaki dio provjere kandidatima se dodjeljuje broj bodova od 1 do 10.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Na pisanom testiranju nije dozvoljeno koristiti se literaturom i zabilješkama, napuštati pr</w:t>
      </w:r>
      <w:r>
        <w:rPr>
          <w:rFonts w:ascii="Arial" w:eastAsia="MS PGothic" w:hAnsi="Arial" w:cs="Arial"/>
        </w:rPr>
        <w:t>ostoriju, razgovarati s ostalim kandidatima niti na bilo koji drugi način remetiti koncentraciju kandidata, a mobitel je potrebno isključiti.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Intervju se provodi samo s kandidatima koji su ostvarili najmanje 50% bodova iz pisane provjere znanja i sposobnos</w:t>
      </w:r>
      <w:r>
        <w:rPr>
          <w:rFonts w:ascii="Arial" w:eastAsia="MS PGothic" w:hAnsi="Arial" w:cs="Arial"/>
        </w:rPr>
        <w:t>ti. Povjerenstvo kroz razgovor s kandidatima prilikom intervjua utvrđuje interese, profesionalne ciljeve i motivaciju za rad na tim poslovima.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Kandidati koji će moći pristupiti intervjuu bit će o tome obaviješteni.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Nakon provedenog testiranja i razgovora (</w:t>
      </w:r>
      <w:r>
        <w:rPr>
          <w:rFonts w:ascii="Arial" w:eastAsia="MS PGothic" w:hAnsi="Arial" w:cs="Arial"/>
        </w:rPr>
        <w:t>intervju), Povjerenstvo za provođenje javnog natječaja utvrđuje rang listu kandidata prema ukupnom broju ostvarenih bodova.</w:t>
      </w: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  <w:u w:val="single"/>
        </w:rPr>
        <w:t>Područje testiranja te pravni i stručni izvori za pripremanje kandidata za radno mjesto samostalnog upravnog referenta za imovinsko</w:t>
      </w:r>
      <w:r>
        <w:rPr>
          <w:rFonts w:ascii="Arial" w:eastAsia="MS PGothic" w:hAnsi="Arial" w:cs="Arial"/>
          <w:u w:val="single"/>
        </w:rPr>
        <w:t>-pravne poslove: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>Zakon o općem upravnom postupku („Narodne novine“ broj 47/09 i 110/21)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>Zakon o vlasništvu i drugim stvarnim pravima ("Narodne novine" br. 91/96, 68/98, 137/99, 22/00, 73/00, 114/01, 79/06, 141/06, 146/08, 38/09, 153/09, 90/10, 143/12, 152/</w:t>
      </w:r>
      <w:r>
        <w:rPr>
          <w:rFonts w:ascii="Arial" w:eastAsia="Times New Roman" w:hAnsi="Arial" w:cs="Arial"/>
          <w:color w:val="000000"/>
          <w:lang w:eastAsia="hr-HR"/>
        </w:rPr>
        <w:t xml:space="preserve">14, 81/15 i 94/17), od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članka 1 do 35 i od članka 359 do 365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>Zakon o izvlaštenju i određivanju naknade ("Narodne novine" br. 74/14, 69/17 i 98/19)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>Zakon o uređivanju imovinskopravnih odnosa u svrhu izgradnje infrastrukturnih građevina ("Narodne novine" br.</w:t>
      </w:r>
      <w:r>
        <w:rPr>
          <w:rFonts w:ascii="Arial" w:eastAsia="Times New Roman" w:hAnsi="Arial" w:cs="Arial"/>
          <w:color w:val="000000"/>
          <w:lang w:eastAsia="hr-HR"/>
        </w:rPr>
        <w:t xml:space="preserve"> 80/11 i 144/21)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 xml:space="preserve">Zakon o naknadi za imovinu oduzetu za vrijeme jugoslavenske komunističke vladavine (“Narodne novine”, broj 92/96, 39/99, 42/99, 92/99, 43/00, 131/00, 27/01, 34/01, 65/01, 118/01, 80/02, 81/02 i 98/19),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od članka 1 do 15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lang w:eastAsia="hr-HR"/>
        </w:rPr>
        <w:t>Zakon o upravljanju</w:t>
      </w:r>
      <w:r>
        <w:rPr>
          <w:rFonts w:ascii="Arial" w:eastAsia="Times New Roman" w:hAnsi="Arial" w:cs="Arial"/>
          <w:color w:val="000000"/>
          <w:lang w:eastAsia="hr-HR"/>
        </w:rPr>
        <w:t xml:space="preserve"> nekretninama i pokretninama u vlasništvu Republike Hrvatske („Narodne novine“ br. 155/23), </w:t>
      </w:r>
      <w:r>
        <w:rPr>
          <w:rFonts w:ascii="Arial" w:eastAsia="Times New Roman" w:hAnsi="Arial" w:cs="Arial"/>
          <w:b/>
          <w:color w:val="000000"/>
          <w:lang w:eastAsia="hr-HR"/>
        </w:rPr>
        <w:t>članci 11, 13, 20-25 i 28</w:t>
      </w:r>
    </w:p>
    <w:p w:rsidR="00A60E59" w:rsidRDefault="004772B2">
      <w:pPr>
        <w:pStyle w:val="Standard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>
        <w:rPr>
          <w:rFonts w:ascii="Arial" w:hAnsi="Arial" w:cs="Arial"/>
        </w:rPr>
        <w:t xml:space="preserve">Zakon o stambenom zbrinjavanju na potpomognutim područjima ("Narodne novine", br. 106/18, 98/19 i 82/23), </w:t>
      </w:r>
      <w:r>
        <w:rPr>
          <w:rFonts w:ascii="Arial" w:hAnsi="Arial" w:cs="Arial"/>
          <w:b/>
        </w:rPr>
        <w:t>članci 1. i 7.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hAnsi="Arial" w:cs="Arial"/>
          <w:u w:val="single"/>
        </w:rPr>
      </w:pPr>
    </w:p>
    <w:p w:rsidR="00A60E59" w:rsidRDefault="00A60E59">
      <w:pPr>
        <w:pStyle w:val="Standard"/>
        <w:spacing w:after="0" w:line="240" w:lineRule="auto"/>
        <w:ind w:firstLine="360"/>
        <w:jc w:val="both"/>
        <w:rPr>
          <w:rFonts w:ascii="Arial" w:hAnsi="Arial" w:cs="Arial"/>
          <w:u w:val="single"/>
        </w:rPr>
      </w:pP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  <w:u w:val="single"/>
        </w:rPr>
        <w:t xml:space="preserve">Postupak </w:t>
      </w:r>
      <w:r>
        <w:rPr>
          <w:rFonts w:ascii="Arial" w:eastAsia="MS PGothic" w:hAnsi="Arial" w:cs="Arial"/>
          <w:u w:val="single"/>
        </w:rPr>
        <w:t>testiranja</w:t>
      </w:r>
      <w:r>
        <w:rPr>
          <w:rFonts w:ascii="Arial" w:eastAsia="MS PGothic" w:hAnsi="Arial" w:cs="Arial"/>
        </w:rPr>
        <w:t>: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Na testiranje je potrebno donijeti osobnu iskaznicu ili drugu ispravu na kojoj se nalazi fotografija s kojom se dokazuje identitet osobe. Ne postoji mogućnost naknadnog pisanog testiranja, bez obzira na razloge koje pojedinog kandidata eventual</w:t>
      </w:r>
      <w:r>
        <w:rPr>
          <w:rFonts w:ascii="Arial" w:eastAsia="MS PGothic" w:hAnsi="Arial" w:cs="Arial"/>
        </w:rPr>
        <w:t>no spriječe da testiranju pristupi u naznačeno vrijeme. Smatra se da je kandidat koji nije pristupio testiranju povukao prijavu na natječaj. Nakon utvrđivanja identiteta i svojstva kandidata, kandidatima će biti podijeljena pitanja iz navedenih područja te</w:t>
      </w:r>
      <w:r>
        <w:rPr>
          <w:rFonts w:ascii="Arial" w:eastAsia="MS PGothic" w:hAnsi="Arial" w:cs="Arial"/>
        </w:rPr>
        <w:t>stiranja.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  <w:u w:val="single"/>
        </w:rPr>
        <w:t>Vrijeme trajanja testiranja – 60 minuta.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Za vrijeme testiranja nije dopušteno: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- koristiti se bilo kakvom literaturom odnosno bilješkama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- koristiti mobitel ili druga komunikacijska sredstva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lastRenderedPageBreak/>
        <w:t>- napuštati prostoriju u kojoj se provjera odvija</w:t>
      </w: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>- ra</w:t>
      </w:r>
      <w:r>
        <w:rPr>
          <w:rFonts w:ascii="Arial" w:eastAsia="MS PGothic" w:hAnsi="Arial" w:cs="Arial"/>
        </w:rPr>
        <w:t>zgovarati s ostalim kandidatima niti na bilo koji način remetiti koncentraciju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0" w:line="240" w:lineRule="auto"/>
        <w:jc w:val="both"/>
      </w:pPr>
      <w:r>
        <w:rPr>
          <w:rFonts w:ascii="Arial" w:eastAsia="MS PGothic" w:hAnsi="Arial" w:cs="Arial"/>
        </w:rPr>
        <w:t xml:space="preserve">Poziv na testiranje bit će objavljen najmanje 5 dana prije testiranja na web stranicama Međimurske županije – </w:t>
      </w:r>
      <w:hyperlink r:id="rId8" w:history="1">
        <w:r>
          <w:rPr>
            <w:rStyle w:val="Internetlink"/>
            <w:rFonts w:ascii="Arial" w:eastAsia="MS PGothic" w:hAnsi="Arial" w:cs="Arial"/>
          </w:rPr>
          <w:t>www.medjimurska-z</w:t>
        </w:r>
        <w:r>
          <w:rPr>
            <w:rStyle w:val="Internetlink"/>
            <w:rFonts w:ascii="Arial" w:eastAsia="MS PGothic" w:hAnsi="Arial" w:cs="Arial"/>
          </w:rPr>
          <w:t>upanija</w:t>
        </w:r>
      </w:hyperlink>
      <w:r>
        <w:rPr>
          <w:rFonts w:ascii="Arial" w:eastAsia="MS PGothic" w:hAnsi="Arial" w:cs="Arial"/>
        </w:rPr>
        <w:t>. hr i na oglasnoj ploči Međimurske županije, Čakovec, R. Boškovića 2.</w:t>
      </w:r>
    </w:p>
    <w:p w:rsidR="00A60E59" w:rsidRDefault="00A60E59">
      <w:pPr>
        <w:pStyle w:val="Standard"/>
        <w:spacing w:after="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  <w:u w:val="single"/>
        </w:rPr>
        <w:t>Ostale upute</w:t>
      </w:r>
      <w:r>
        <w:rPr>
          <w:rFonts w:ascii="Arial" w:eastAsia="MS PGothic" w:hAnsi="Arial" w:cs="Arial"/>
        </w:rPr>
        <w:t>: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Podnositelji prijava dužni su u prijavi priložiti sve priloge i podatke naznačene u javnom natječaju i to u obliku navedenom u natječaju budući da manjak samo jedn</w:t>
      </w:r>
      <w:r>
        <w:rPr>
          <w:rFonts w:ascii="Arial" w:eastAsia="MS PGothic" w:hAnsi="Arial" w:cs="Arial"/>
        </w:rPr>
        <w:t>e isprave ili dostava jedne isprave u obliku koji nije naveden u natječaju isključuje podnositelja iz statusa kandidata. Ukoliko podnositelj prijave utvrdi da je potrebno dopuniti prijavu koja je već podnijeta, to je moguće učiniti zaključno do isteka roka</w:t>
      </w:r>
      <w:r>
        <w:rPr>
          <w:rFonts w:ascii="Arial" w:eastAsia="MS PGothic" w:hAnsi="Arial" w:cs="Arial"/>
        </w:rPr>
        <w:t xml:space="preserve"> u javnom natječaju.</w:t>
      </w: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>Nadalje, prijave kandidata koji ne ispunjavaju formalne uvjete za prijam u službu navedene u javnom natječaju ne upućuju se u daljnji postupak provjere znanja i sposobnosti i o tome će se podnositelj prijave obavijestiti pisanim putem.</w:t>
      </w: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4772B2">
      <w:pPr>
        <w:pStyle w:val="Standard"/>
        <w:spacing w:after="120" w:line="240" w:lineRule="auto"/>
        <w:jc w:val="both"/>
      </w:pPr>
      <w:r>
        <w:rPr>
          <w:rFonts w:ascii="Arial" w:eastAsia="MS PGothic" w:hAnsi="Arial" w:cs="Arial"/>
        </w:rPr>
        <w:t xml:space="preserve">                                             POVJERENSTVO ZA PROVOĐENJE JAVNOG NATJEČAJA</w:t>
      </w: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  <w:rPr>
          <w:rFonts w:ascii="Arial" w:eastAsia="MS PGothic" w:hAnsi="Arial" w:cs="Arial"/>
        </w:rPr>
      </w:pPr>
    </w:p>
    <w:p w:rsidR="00A60E59" w:rsidRDefault="00A60E59">
      <w:pPr>
        <w:pStyle w:val="Standard"/>
        <w:spacing w:after="120" w:line="240" w:lineRule="auto"/>
        <w:jc w:val="both"/>
      </w:pPr>
    </w:p>
    <w:sectPr w:rsidR="00A60E5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B2" w:rsidRDefault="004772B2">
      <w:r>
        <w:separator/>
      </w:r>
    </w:p>
  </w:endnote>
  <w:endnote w:type="continuationSeparator" w:id="0">
    <w:p w:rsidR="004772B2" w:rsidRDefault="0047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Noto Sans SC Regular">
    <w:charset w:val="00"/>
    <w:family w:val="auto"/>
    <w:pitch w:val="variable"/>
  </w:font>
  <w:font w:name="Noto Sans Devanagari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B2" w:rsidRDefault="004772B2">
      <w:r>
        <w:rPr>
          <w:color w:val="000000"/>
        </w:rPr>
        <w:separator/>
      </w:r>
    </w:p>
  </w:footnote>
  <w:footnote w:type="continuationSeparator" w:id="0">
    <w:p w:rsidR="004772B2" w:rsidRDefault="0047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E654F"/>
    <w:multiLevelType w:val="multilevel"/>
    <w:tmpl w:val="9A72A7AA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 w15:restartNumberingAfterBreak="0">
    <w:nsid w:val="10E95DF6"/>
    <w:multiLevelType w:val="multilevel"/>
    <w:tmpl w:val="C9AA0670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17E44255"/>
    <w:multiLevelType w:val="multilevel"/>
    <w:tmpl w:val="0126689A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23B50544"/>
    <w:multiLevelType w:val="multilevel"/>
    <w:tmpl w:val="873EC1BE"/>
    <w:styleLink w:val="WWNum8"/>
    <w:lvl w:ilvl="0">
      <w:numFmt w:val="bullet"/>
      <w:lvlText w:val="-"/>
      <w:lvlJc w:val="left"/>
      <w:rPr>
        <w:rFonts w:ascii="Arial" w:eastAsia="MS PGothic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FFA58BE"/>
    <w:multiLevelType w:val="multilevel"/>
    <w:tmpl w:val="8C42437C"/>
    <w:styleLink w:val="WWNum2"/>
    <w:lvl w:ilvl="0">
      <w:start w:val="1"/>
      <w:numFmt w:val="upperRoman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34485983"/>
    <w:multiLevelType w:val="multilevel"/>
    <w:tmpl w:val="69681CAA"/>
    <w:styleLink w:val="WWNum10"/>
    <w:lvl w:ilvl="0">
      <w:numFmt w:val="bullet"/>
      <w:lvlText w:val="-"/>
      <w:lvlJc w:val="left"/>
      <w:rPr>
        <w:rFonts w:ascii="Arial" w:eastAsia="MS PGothic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5E605D4"/>
    <w:multiLevelType w:val="multilevel"/>
    <w:tmpl w:val="8EB407BA"/>
    <w:styleLink w:val="WWNum13"/>
    <w:lvl w:ilvl="0">
      <w:start w:val="1"/>
      <w:numFmt w:val="decimal"/>
      <w:lvlText w:val="%1"/>
      <w:lvlJc w:val="left"/>
      <w:rPr>
        <w:b/>
        <w:bCs/>
        <w:u w:val="sing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 w15:restartNumberingAfterBreak="0">
    <w:nsid w:val="370B52DC"/>
    <w:multiLevelType w:val="multilevel"/>
    <w:tmpl w:val="0156939C"/>
    <w:styleLink w:val="WWNum12"/>
    <w:lvl w:ilvl="0">
      <w:numFmt w:val="bullet"/>
      <w:lvlText w:val="-"/>
      <w:lvlJc w:val="left"/>
      <w:rPr>
        <w:rFonts w:ascii="Arial" w:eastAsia="MS PGothic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12E315B"/>
    <w:multiLevelType w:val="multilevel"/>
    <w:tmpl w:val="5D7CBF4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4C3958E7"/>
    <w:multiLevelType w:val="multilevel"/>
    <w:tmpl w:val="9C202338"/>
    <w:styleLink w:val="WWNum6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2F000C1"/>
    <w:multiLevelType w:val="multilevel"/>
    <w:tmpl w:val="1EAABD72"/>
    <w:styleLink w:val="WWNum18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35A72DF"/>
    <w:multiLevelType w:val="multilevel"/>
    <w:tmpl w:val="413C26F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54213430"/>
    <w:multiLevelType w:val="multilevel"/>
    <w:tmpl w:val="A5C02AFA"/>
    <w:styleLink w:val="WWNum7"/>
    <w:lvl w:ilvl="0">
      <w:numFmt w:val="bullet"/>
      <w:lvlText w:val="-"/>
      <w:lvlJc w:val="left"/>
      <w:rPr>
        <w:rFonts w:ascii="Arial" w:eastAsia="MS PGothic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9E56AAA"/>
    <w:multiLevelType w:val="multilevel"/>
    <w:tmpl w:val="81921C06"/>
    <w:styleLink w:val="WWNum5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F124868"/>
    <w:multiLevelType w:val="multilevel"/>
    <w:tmpl w:val="248ED196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5" w15:restartNumberingAfterBreak="0">
    <w:nsid w:val="6FC526D6"/>
    <w:multiLevelType w:val="multilevel"/>
    <w:tmpl w:val="19F6489C"/>
    <w:styleLink w:val="WWNum14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2DB7B29"/>
    <w:multiLevelType w:val="multilevel"/>
    <w:tmpl w:val="4798094E"/>
    <w:styleLink w:val="WWNum1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744D74DD"/>
    <w:multiLevelType w:val="multilevel"/>
    <w:tmpl w:val="3F306088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 w15:restartNumberingAfterBreak="0">
    <w:nsid w:val="788848B1"/>
    <w:multiLevelType w:val="multilevel"/>
    <w:tmpl w:val="CE9A9D2A"/>
    <w:styleLink w:val="WWNum15"/>
    <w:lvl w:ilvl="0">
      <w:numFmt w:val="bullet"/>
      <w:lvlText w:val="-"/>
      <w:lvlJc w:val="left"/>
      <w:rPr>
        <w:rFonts w:ascii="Arial" w:eastAsia="MS PGothic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18"/>
  </w:num>
  <w:num w:numId="17">
    <w:abstractNumId w:val="14"/>
  </w:num>
  <w:num w:numId="18">
    <w:abstractNumId w:val="0"/>
  </w:num>
  <w:num w:numId="19">
    <w:abstractNumId w:val="10"/>
  </w:num>
  <w:num w:numId="20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0E59"/>
    <w:rsid w:val="00217692"/>
    <w:rsid w:val="004772B2"/>
    <w:rsid w:val="00A60E59"/>
    <w:rsid w:val="00E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5CDD3-6413-499E-BCE6-045E9CC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Popis">
    <w:name w:val="List"/>
    <w:basedOn w:val="Textbody"/>
    <w:rPr>
      <w:rFonts w:cs="Noto Sans Devanagari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Odlomakpopisa">
    <w:name w:val="List Paragraph"/>
    <w:basedOn w:val="Standard"/>
    <w:pPr>
      <w:ind w:left="720"/>
    </w:pPr>
  </w:style>
  <w:style w:type="paragraph" w:styleId="Tekstbaloni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Bodytext295ptNotBold">
    <w:name w:val="Body text (2) + 9.5 pt;Not Bold"/>
    <w:basedOn w:val="Zadanifontodlomka"/>
    <w:rPr>
      <w:rFonts w:ascii="Arial" w:eastAsia="Arial" w:hAnsi="Arial" w:cs="Arial"/>
      <w:b/>
      <w:bCs/>
      <w:color w:val="000000"/>
      <w:spacing w:val="0"/>
      <w:w w:val="100"/>
      <w:sz w:val="19"/>
      <w:szCs w:val="19"/>
      <w:shd w:val="clear" w:color="auto" w:fill="FFFFFF"/>
      <w:lang w:val="hr-HR" w:eastAsia="hr-HR" w:bidi="hr-HR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MS PGothic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MS PGothic" w:cs="Aria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rFonts w:eastAsia="MS PGothic" w:cs="Aria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rFonts w:eastAsia="MS PGothic" w:cs="Aria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b/>
      <w:bCs/>
      <w:u w:val="single"/>
    </w:rPr>
  </w:style>
  <w:style w:type="character" w:customStyle="1" w:styleId="ListLabel32">
    <w:name w:val="ListLabel 32"/>
    <w:rPr>
      <w:rFonts w:eastAsia="Calibri" w:cs="Aria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MS PGothic" w:cs="Aria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rFonts w:eastAsia="Calibri" w:cs="Aria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  <w:style w:type="numbering" w:customStyle="1" w:styleId="WWNum10">
    <w:name w:val="WWNum10"/>
    <w:basedOn w:val="Bezpopisa"/>
    <w:pPr>
      <w:numPr>
        <w:numId w:val="11"/>
      </w:numPr>
    </w:pPr>
  </w:style>
  <w:style w:type="numbering" w:customStyle="1" w:styleId="WWNum11">
    <w:name w:val="WWNum11"/>
    <w:basedOn w:val="Bezpopisa"/>
    <w:pPr>
      <w:numPr>
        <w:numId w:val="12"/>
      </w:numPr>
    </w:pPr>
  </w:style>
  <w:style w:type="numbering" w:customStyle="1" w:styleId="WWNum12">
    <w:name w:val="WWNum12"/>
    <w:basedOn w:val="Bezpopisa"/>
    <w:pPr>
      <w:numPr>
        <w:numId w:val="13"/>
      </w:numPr>
    </w:pPr>
  </w:style>
  <w:style w:type="numbering" w:customStyle="1" w:styleId="WWNum13">
    <w:name w:val="WWNum13"/>
    <w:basedOn w:val="Bezpopisa"/>
    <w:pPr>
      <w:numPr>
        <w:numId w:val="14"/>
      </w:numPr>
    </w:pPr>
  </w:style>
  <w:style w:type="numbering" w:customStyle="1" w:styleId="WWNum14">
    <w:name w:val="WWNum14"/>
    <w:basedOn w:val="Bezpopisa"/>
    <w:pPr>
      <w:numPr>
        <w:numId w:val="15"/>
      </w:numPr>
    </w:pPr>
  </w:style>
  <w:style w:type="numbering" w:customStyle="1" w:styleId="WWNum15">
    <w:name w:val="WWNum15"/>
    <w:basedOn w:val="Bezpopisa"/>
    <w:pPr>
      <w:numPr>
        <w:numId w:val="16"/>
      </w:numPr>
    </w:pPr>
  </w:style>
  <w:style w:type="numbering" w:customStyle="1" w:styleId="WWNum16">
    <w:name w:val="WWNum16"/>
    <w:basedOn w:val="Bezpopisa"/>
    <w:pPr>
      <w:numPr>
        <w:numId w:val="17"/>
      </w:numPr>
    </w:pPr>
  </w:style>
  <w:style w:type="numbering" w:customStyle="1" w:styleId="WWNum17">
    <w:name w:val="WWNum17"/>
    <w:basedOn w:val="Bezpopisa"/>
    <w:pPr>
      <w:numPr>
        <w:numId w:val="18"/>
      </w:numPr>
    </w:pPr>
  </w:style>
  <w:style w:type="numbering" w:customStyle="1" w:styleId="WWNum18">
    <w:name w:val="WWNum18"/>
    <w:basedOn w:val="Bezpopis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jimurska-zupani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djurdjav</dc:creator>
  <cp:lastModifiedBy>Microsoftov račun</cp:lastModifiedBy>
  <cp:revision>2</cp:revision>
  <cp:lastPrinted>2025-03-06T07:34:00Z</cp:lastPrinted>
  <dcterms:created xsi:type="dcterms:W3CDTF">2025-03-06T11:15:00Z</dcterms:created>
  <dcterms:modified xsi:type="dcterms:W3CDTF">2025-03-06T11:15:00Z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Medjimurska zupanija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