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35EE3" w14:textId="3813416B" w:rsidR="00AD41DE" w:rsidRPr="007B1199" w:rsidRDefault="00AD41DE" w:rsidP="00C409B1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7B1199">
        <w:rPr>
          <w:rFonts w:cstheme="minorHAnsi"/>
        </w:rPr>
        <w:t xml:space="preserve">               </w:t>
      </w:r>
    </w:p>
    <w:p w14:paraId="27E8859D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  <w:b/>
          <w:sz w:val="28"/>
        </w:rPr>
      </w:pPr>
    </w:p>
    <w:p w14:paraId="326B5B62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  <w:b/>
          <w:sz w:val="28"/>
        </w:rPr>
      </w:pPr>
    </w:p>
    <w:p w14:paraId="2863B31E" w14:textId="60FF1A89" w:rsidR="00AD41DE" w:rsidRPr="007B1199" w:rsidRDefault="000742B6" w:rsidP="00C409B1">
      <w:pPr>
        <w:spacing w:after="0" w:line="360" w:lineRule="auto"/>
        <w:jc w:val="both"/>
        <w:rPr>
          <w:rFonts w:cstheme="minorHAnsi"/>
          <w:b/>
          <w:sz w:val="28"/>
        </w:rPr>
      </w:pPr>
      <w:r w:rsidRPr="007B1199">
        <w:rPr>
          <w:rFonts w:cstheme="minorHAnsi"/>
          <w:b/>
          <w:noProof/>
          <w:sz w:val="28"/>
          <w:lang w:eastAsia="hr-HR"/>
        </w:rPr>
        <w:drawing>
          <wp:anchor distT="0" distB="0" distL="114300" distR="114300" simplePos="0" relativeHeight="251658240" behindDoc="0" locked="0" layoutInCell="1" allowOverlap="1" wp14:anchorId="57D64CE9" wp14:editId="490B7843">
            <wp:simplePos x="898497" y="1892410"/>
            <wp:positionH relativeFrom="margin">
              <wp:align>center</wp:align>
            </wp:positionH>
            <wp:positionV relativeFrom="margin">
              <wp:align>top</wp:align>
            </wp:positionV>
            <wp:extent cx="1431290" cy="1558290"/>
            <wp:effectExtent l="0" t="0" r="0" b="3810"/>
            <wp:wrapSquare wrapText="bothSides"/>
            <wp:docPr id="15876570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D066E" w14:textId="77777777" w:rsidR="000742B6" w:rsidRPr="007B1199" w:rsidRDefault="000742B6" w:rsidP="00C409B1">
      <w:pPr>
        <w:spacing w:after="0" w:line="360" w:lineRule="auto"/>
        <w:jc w:val="center"/>
        <w:rPr>
          <w:rFonts w:cstheme="minorHAnsi"/>
          <w:b/>
          <w:sz w:val="28"/>
        </w:rPr>
      </w:pPr>
    </w:p>
    <w:p w14:paraId="789ADCBF" w14:textId="77777777" w:rsidR="000742B6" w:rsidRPr="007B1199" w:rsidRDefault="000742B6" w:rsidP="00C409B1">
      <w:pPr>
        <w:spacing w:after="0" w:line="360" w:lineRule="auto"/>
        <w:jc w:val="center"/>
        <w:rPr>
          <w:rFonts w:cstheme="minorHAnsi"/>
          <w:b/>
          <w:sz w:val="28"/>
        </w:rPr>
      </w:pPr>
    </w:p>
    <w:p w14:paraId="5B9D8EA0" w14:textId="7EC40313" w:rsidR="005C1A4B" w:rsidRPr="007B1199" w:rsidRDefault="00AA11A3" w:rsidP="00C409B1">
      <w:pPr>
        <w:spacing w:after="0" w:line="360" w:lineRule="auto"/>
        <w:jc w:val="center"/>
        <w:rPr>
          <w:rFonts w:cstheme="minorHAnsi"/>
          <w:b/>
          <w:sz w:val="28"/>
        </w:rPr>
      </w:pPr>
      <w:r w:rsidRPr="007B1199">
        <w:rPr>
          <w:rFonts w:cstheme="minorHAnsi"/>
          <w:b/>
          <w:sz w:val="28"/>
        </w:rPr>
        <w:t>G</w:t>
      </w:r>
      <w:r w:rsidR="005757B2" w:rsidRPr="007B1199">
        <w:rPr>
          <w:rFonts w:cstheme="minorHAnsi"/>
          <w:b/>
          <w:sz w:val="28"/>
        </w:rPr>
        <w:t>odišnje izvješće o provedbi provedbenog programa za 202</w:t>
      </w:r>
      <w:r w:rsidR="00FF6FF9">
        <w:rPr>
          <w:rFonts w:cstheme="minorHAnsi"/>
          <w:b/>
          <w:sz w:val="28"/>
        </w:rPr>
        <w:t>4</w:t>
      </w:r>
      <w:r w:rsidR="005757B2" w:rsidRPr="007B1199">
        <w:rPr>
          <w:rFonts w:cstheme="minorHAnsi"/>
          <w:b/>
          <w:sz w:val="28"/>
        </w:rPr>
        <w:t>. godinu</w:t>
      </w:r>
    </w:p>
    <w:p w14:paraId="2D39B415" w14:textId="0C52D061" w:rsidR="00807536" w:rsidRPr="007B1199" w:rsidRDefault="00807536" w:rsidP="00C409B1">
      <w:pPr>
        <w:spacing w:after="0" w:line="360" w:lineRule="auto"/>
        <w:ind w:left="360"/>
        <w:jc w:val="center"/>
        <w:rPr>
          <w:rFonts w:cstheme="minorHAnsi"/>
          <w:b/>
          <w:sz w:val="28"/>
        </w:rPr>
      </w:pPr>
      <w:r w:rsidRPr="007B1199">
        <w:rPr>
          <w:rFonts w:cstheme="minorHAnsi"/>
          <w:b/>
          <w:sz w:val="28"/>
        </w:rPr>
        <w:t>1. 1.</w:t>
      </w:r>
      <w:r w:rsidR="00AD41DE" w:rsidRPr="007B1199">
        <w:rPr>
          <w:rFonts w:cstheme="minorHAnsi"/>
          <w:b/>
          <w:sz w:val="28"/>
        </w:rPr>
        <w:t xml:space="preserve"> </w:t>
      </w:r>
      <w:r w:rsidRPr="007B1199">
        <w:rPr>
          <w:rFonts w:cstheme="minorHAnsi"/>
          <w:b/>
          <w:sz w:val="28"/>
        </w:rPr>
        <w:t>202</w:t>
      </w:r>
      <w:r w:rsidR="00FF6FF9">
        <w:rPr>
          <w:rFonts w:cstheme="minorHAnsi"/>
          <w:b/>
          <w:sz w:val="28"/>
        </w:rPr>
        <w:t>4</w:t>
      </w:r>
      <w:r w:rsidRPr="007B1199">
        <w:rPr>
          <w:rFonts w:cstheme="minorHAnsi"/>
          <w:b/>
          <w:sz w:val="28"/>
        </w:rPr>
        <w:t>. – 3</w:t>
      </w:r>
      <w:r w:rsidR="00395A1B" w:rsidRPr="007B1199">
        <w:rPr>
          <w:rFonts w:cstheme="minorHAnsi"/>
          <w:b/>
          <w:sz w:val="28"/>
        </w:rPr>
        <w:t>1</w:t>
      </w:r>
      <w:r w:rsidRPr="007B1199">
        <w:rPr>
          <w:rFonts w:cstheme="minorHAnsi"/>
          <w:b/>
          <w:sz w:val="28"/>
        </w:rPr>
        <w:t xml:space="preserve">. </w:t>
      </w:r>
      <w:r w:rsidR="00395A1B" w:rsidRPr="007B1199">
        <w:rPr>
          <w:rFonts w:cstheme="minorHAnsi"/>
          <w:b/>
          <w:sz w:val="28"/>
        </w:rPr>
        <w:t>12</w:t>
      </w:r>
      <w:r w:rsidRPr="007B1199">
        <w:rPr>
          <w:rFonts w:cstheme="minorHAnsi"/>
          <w:b/>
          <w:sz w:val="28"/>
        </w:rPr>
        <w:t>. 202</w:t>
      </w:r>
      <w:r w:rsidR="00FF6FF9">
        <w:rPr>
          <w:rFonts w:cstheme="minorHAnsi"/>
          <w:b/>
          <w:sz w:val="28"/>
        </w:rPr>
        <w:t>4</w:t>
      </w:r>
      <w:r w:rsidRPr="007B1199">
        <w:rPr>
          <w:rFonts w:cstheme="minorHAnsi"/>
          <w:b/>
          <w:sz w:val="28"/>
        </w:rPr>
        <w:t>.</w:t>
      </w:r>
    </w:p>
    <w:p w14:paraId="467569AA" w14:textId="171440B5" w:rsidR="005757B2" w:rsidRPr="007B1199" w:rsidRDefault="001D49CA" w:rsidP="00C409B1">
      <w:pPr>
        <w:spacing w:after="0" w:line="360" w:lineRule="auto"/>
        <w:jc w:val="center"/>
        <w:rPr>
          <w:rFonts w:cstheme="minorHAnsi"/>
          <w:sz w:val="28"/>
        </w:rPr>
      </w:pPr>
      <w:r w:rsidRPr="007B1199">
        <w:rPr>
          <w:rFonts w:cstheme="minorHAnsi"/>
          <w:sz w:val="28"/>
        </w:rPr>
        <w:t>Međimurska županija</w:t>
      </w:r>
    </w:p>
    <w:p w14:paraId="3992964D" w14:textId="77777777" w:rsidR="00AD41DE" w:rsidRPr="007B1199" w:rsidRDefault="00AD41DE" w:rsidP="00C409B1">
      <w:pPr>
        <w:spacing w:after="0" w:line="360" w:lineRule="auto"/>
        <w:jc w:val="both"/>
        <w:rPr>
          <w:rFonts w:cstheme="minorHAnsi"/>
          <w:sz w:val="28"/>
        </w:rPr>
      </w:pPr>
    </w:p>
    <w:p w14:paraId="479CE9E7" w14:textId="77777777" w:rsidR="00AD41DE" w:rsidRPr="007B1199" w:rsidRDefault="00AD41DE" w:rsidP="00C409B1">
      <w:pPr>
        <w:spacing w:after="0" w:line="360" w:lineRule="auto"/>
        <w:jc w:val="both"/>
        <w:rPr>
          <w:rFonts w:cstheme="minorHAnsi"/>
          <w:sz w:val="28"/>
        </w:rPr>
      </w:pPr>
    </w:p>
    <w:p w14:paraId="21637AEC" w14:textId="7F032E46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006F7340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4EA5049D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2BAED4E0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6D297282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  <w:r w:rsidRPr="007B1199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-93257957"/>
        <w:docPartObj>
          <w:docPartGallery w:val="Table of Contents"/>
          <w:docPartUnique/>
        </w:docPartObj>
      </w:sdtPr>
      <w:sdtEndPr/>
      <w:sdtContent>
        <w:p w14:paraId="6A1ADCF6" w14:textId="77777777" w:rsidR="00A838FF" w:rsidRPr="007B1199" w:rsidRDefault="00D93B36" w:rsidP="00C409B1">
          <w:pPr>
            <w:pStyle w:val="TOCHeading"/>
            <w:spacing w:line="360" w:lineRule="auto"/>
            <w:jc w:val="both"/>
            <w:rPr>
              <w:rFonts w:asciiTheme="minorHAnsi" w:hAnsiTheme="minorHAnsi" w:cstheme="minorHAnsi"/>
              <w:color w:val="auto"/>
              <w:sz w:val="24"/>
            </w:rPr>
          </w:pPr>
          <w:r w:rsidRPr="007B1199">
            <w:rPr>
              <w:rFonts w:asciiTheme="minorHAnsi" w:hAnsiTheme="minorHAnsi" w:cstheme="minorHAnsi"/>
              <w:color w:val="auto"/>
              <w:sz w:val="24"/>
            </w:rPr>
            <w:t xml:space="preserve">SADRŽAJ </w:t>
          </w:r>
        </w:p>
        <w:p w14:paraId="239BAD66" w14:textId="77777777" w:rsidR="00D93B36" w:rsidRPr="007B1199" w:rsidRDefault="00D93B36" w:rsidP="00C409B1">
          <w:pPr>
            <w:spacing w:after="0" w:line="360" w:lineRule="auto"/>
            <w:jc w:val="both"/>
            <w:rPr>
              <w:rFonts w:cstheme="minorHAnsi"/>
              <w:lang w:eastAsia="hr-HR"/>
            </w:rPr>
          </w:pPr>
        </w:p>
        <w:p w14:paraId="2657E857" w14:textId="77777777" w:rsidR="00D93B36" w:rsidRPr="007B1199" w:rsidRDefault="00D93B36" w:rsidP="00C409B1">
          <w:pPr>
            <w:spacing w:after="0" w:line="360" w:lineRule="auto"/>
            <w:jc w:val="both"/>
            <w:rPr>
              <w:rFonts w:cstheme="minorHAnsi"/>
              <w:lang w:eastAsia="hr-HR"/>
            </w:rPr>
          </w:pPr>
        </w:p>
        <w:p w14:paraId="3DFB92DE" w14:textId="585169B6" w:rsidR="00545FB3" w:rsidRDefault="00A838FF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7B1199">
            <w:rPr>
              <w:rFonts w:cstheme="minorHAnsi"/>
            </w:rPr>
            <w:fldChar w:fldCharType="begin"/>
          </w:r>
          <w:r w:rsidRPr="007B1199">
            <w:rPr>
              <w:rFonts w:cstheme="minorHAnsi"/>
            </w:rPr>
            <w:instrText xml:space="preserve"> TOC \o "1-3" \h \z \u </w:instrText>
          </w:r>
          <w:r w:rsidRPr="007B1199">
            <w:rPr>
              <w:rFonts w:cstheme="minorHAnsi"/>
            </w:rPr>
            <w:fldChar w:fldCharType="separate"/>
          </w:r>
          <w:hyperlink w:anchor="_Toc190849014" w:history="1">
            <w:r w:rsidR="00545FB3" w:rsidRPr="0076585E">
              <w:rPr>
                <w:rStyle w:val="Hyperlink"/>
                <w:rFonts w:cstheme="minorHAnsi"/>
                <w:b/>
                <w:noProof/>
              </w:rPr>
              <w:t>1.</w:t>
            </w:r>
            <w:r w:rsidR="00545FB3"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545FB3" w:rsidRPr="0076585E">
              <w:rPr>
                <w:rStyle w:val="Hyperlink"/>
                <w:rFonts w:cstheme="minorHAnsi"/>
                <w:b/>
                <w:noProof/>
              </w:rPr>
              <w:t>PREGLED STANJA U UPRAVNOM PODRUČJU</w:t>
            </w:r>
            <w:r w:rsidR="00545FB3">
              <w:rPr>
                <w:noProof/>
                <w:webHidden/>
              </w:rPr>
              <w:tab/>
            </w:r>
            <w:r w:rsidR="00545FB3">
              <w:rPr>
                <w:noProof/>
                <w:webHidden/>
              </w:rPr>
              <w:fldChar w:fldCharType="begin"/>
            </w:r>
            <w:r w:rsidR="00545FB3">
              <w:rPr>
                <w:noProof/>
                <w:webHidden/>
              </w:rPr>
              <w:instrText xml:space="preserve"> PAGEREF _Toc190849014 \h </w:instrText>
            </w:r>
            <w:r w:rsidR="00545FB3">
              <w:rPr>
                <w:noProof/>
                <w:webHidden/>
              </w:rPr>
            </w:r>
            <w:r w:rsidR="00545FB3">
              <w:rPr>
                <w:noProof/>
                <w:webHidden/>
              </w:rPr>
              <w:fldChar w:fldCharType="separate"/>
            </w:r>
            <w:r w:rsidR="00545FB3">
              <w:rPr>
                <w:noProof/>
                <w:webHidden/>
              </w:rPr>
              <w:t>3</w:t>
            </w:r>
            <w:r w:rsidR="00545FB3">
              <w:rPr>
                <w:noProof/>
                <w:webHidden/>
              </w:rPr>
              <w:fldChar w:fldCharType="end"/>
            </w:r>
          </w:hyperlink>
        </w:p>
        <w:p w14:paraId="773E1F58" w14:textId="38D032B9" w:rsidR="00545FB3" w:rsidRDefault="00A77CA8">
          <w:pPr>
            <w:pStyle w:val="TOC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849015" w:history="1">
            <w:r w:rsidR="00545FB3" w:rsidRPr="0076585E">
              <w:rPr>
                <w:rStyle w:val="Hyperlink"/>
                <w:rFonts w:cstheme="minorHAnsi"/>
                <w:b/>
                <w:noProof/>
              </w:rPr>
              <w:t>2.</w:t>
            </w:r>
            <w:r w:rsidR="00545FB3"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545FB3" w:rsidRPr="0076585E">
              <w:rPr>
                <w:rStyle w:val="Hyperlink"/>
                <w:rFonts w:cstheme="minorHAnsi"/>
                <w:b/>
                <w:noProof/>
              </w:rPr>
              <w:t>IZVJEŠĆE O NAPRETKU U PROVEDBI MJERA</w:t>
            </w:r>
            <w:r w:rsidR="00545FB3">
              <w:rPr>
                <w:noProof/>
                <w:webHidden/>
              </w:rPr>
              <w:tab/>
            </w:r>
            <w:r w:rsidR="00545FB3">
              <w:rPr>
                <w:noProof/>
                <w:webHidden/>
              </w:rPr>
              <w:fldChar w:fldCharType="begin"/>
            </w:r>
            <w:r w:rsidR="00545FB3">
              <w:rPr>
                <w:noProof/>
                <w:webHidden/>
              </w:rPr>
              <w:instrText xml:space="preserve"> PAGEREF _Toc190849015 \h </w:instrText>
            </w:r>
            <w:r w:rsidR="00545FB3">
              <w:rPr>
                <w:noProof/>
                <w:webHidden/>
              </w:rPr>
            </w:r>
            <w:r w:rsidR="00545FB3">
              <w:rPr>
                <w:noProof/>
                <w:webHidden/>
              </w:rPr>
              <w:fldChar w:fldCharType="separate"/>
            </w:r>
            <w:r w:rsidR="00545FB3">
              <w:rPr>
                <w:noProof/>
                <w:webHidden/>
              </w:rPr>
              <w:t>4</w:t>
            </w:r>
            <w:r w:rsidR="00545FB3">
              <w:rPr>
                <w:noProof/>
                <w:webHidden/>
              </w:rPr>
              <w:fldChar w:fldCharType="end"/>
            </w:r>
          </w:hyperlink>
        </w:p>
        <w:p w14:paraId="254564DD" w14:textId="47BEBC96" w:rsidR="00545FB3" w:rsidRDefault="00A77CA8">
          <w:pPr>
            <w:pStyle w:val="TOC3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849016" w:history="1">
            <w:r w:rsidR="00545FB3" w:rsidRPr="0076585E">
              <w:rPr>
                <w:rStyle w:val="Hyperlink"/>
                <w:rFonts w:cstheme="minorHAnsi"/>
                <w:b/>
                <w:noProof/>
              </w:rPr>
              <w:t>3.</w:t>
            </w:r>
            <w:r w:rsidR="00545FB3"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545FB3" w:rsidRPr="0076585E">
              <w:rPr>
                <w:rStyle w:val="Hyperlink"/>
                <w:rFonts w:cstheme="minorHAnsi"/>
                <w:b/>
                <w:noProof/>
              </w:rPr>
              <w:t>DOPRINOS OSTVARENJU CILJEVA JAVNIH POLITIKA</w:t>
            </w:r>
            <w:r w:rsidR="00545FB3">
              <w:rPr>
                <w:noProof/>
                <w:webHidden/>
              </w:rPr>
              <w:tab/>
            </w:r>
            <w:r w:rsidR="00545FB3">
              <w:rPr>
                <w:noProof/>
                <w:webHidden/>
              </w:rPr>
              <w:fldChar w:fldCharType="begin"/>
            </w:r>
            <w:r w:rsidR="00545FB3">
              <w:rPr>
                <w:noProof/>
                <w:webHidden/>
              </w:rPr>
              <w:instrText xml:space="preserve"> PAGEREF _Toc190849016 \h </w:instrText>
            </w:r>
            <w:r w:rsidR="00545FB3">
              <w:rPr>
                <w:noProof/>
                <w:webHidden/>
              </w:rPr>
            </w:r>
            <w:r w:rsidR="00545FB3">
              <w:rPr>
                <w:noProof/>
                <w:webHidden/>
              </w:rPr>
              <w:fldChar w:fldCharType="separate"/>
            </w:r>
            <w:r w:rsidR="00545FB3">
              <w:rPr>
                <w:noProof/>
                <w:webHidden/>
              </w:rPr>
              <w:t>9</w:t>
            </w:r>
            <w:r w:rsidR="00545FB3">
              <w:rPr>
                <w:noProof/>
                <w:webHidden/>
              </w:rPr>
              <w:fldChar w:fldCharType="end"/>
            </w:r>
          </w:hyperlink>
        </w:p>
        <w:p w14:paraId="79A68458" w14:textId="723B295B" w:rsidR="00A838FF" w:rsidRPr="007B1199" w:rsidRDefault="00A838FF" w:rsidP="00C409B1">
          <w:pPr>
            <w:spacing w:after="0" w:line="360" w:lineRule="auto"/>
            <w:jc w:val="both"/>
            <w:rPr>
              <w:rFonts w:cstheme="minorHAnsi"/>
            </w:rPr>
          </w:pPr>
          <w:r w:rsidRPr="007B1199">
            <w:rPr>
              <w:rFonts w:cstheme="minorHAnsi"/>
              <w:b/>
              <w:bCs/>
            </w:rPr>
            <w:fldChar w:fldCharType="end"/>
          </w:r>
        </w:p>
      </w:sdtContent>
    </w:sdt>
    <w:p w14:paraId="04301D6E" w14:textId="77777777" w:rsidR="00A838FF" w:rsidRPr="007B1199" w:rsidRDefault="00A838FF" w:rsidP="00C409B1">
      <w:pPr>
        <w:spacing w:after="0" w:line="360" w:lineRule="auto"/>
        <w:jc w:val="both"/>
        <w:rPr>
          <w:rFonts w:cstheme="minorHAnsi"/>
          <w:b/>
          <w:sz w:val="24"/>
        </w:rPr>
      </w:pPr>
    </w:p>
    <w:p w14:paraId="44E5C95F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3E6B1522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</w:p>
    <w:p w14:paraId="2D16881A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</w:rPr>
      </w:pPr>
      <w:r w:rsidRPr="007B1199">
        <w:rPr>
          <w:rFonts w:cstheme="minorHAnsi"/>
        </w:rPr>
        <w:br w:type="page"/>
      </w:r>
    </w:p>
    <w:p w14:paraId="5470239D" w14:textId="77777777" w:rsidR="005757B2" w:rsidRPr="007B1199" w:rsidRDefault="005757B2" w:rsidP="00C409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cstheme="minorHAnsi"/>
          <w:b/>
          <w:sz w:val="24"/>
        </w:rPr>
      </w:pPr>
      <w:bookmarkStart w:id="1" w:name="_Toc190849014"/>
      <w:r w:rsidRPr="007B1199">
        <w:rPr>
          <w:rFonts w:cstheme="minorHAnsi"/>
          <w:b/>
          <w:sz w:val="24"/>
        </w:rPr>
        <w:lastRenderedPageBreak/>
        <w:t>PREGLED STANJA U UPRAVNOM PODRUČJU</w:t>
      </w:r>
      <w:bookmarkEnd w:id="1"/>
      <w:r w:rsidRPr="007B1199">
        <w:rPr>
          <w:rFonts w:cstheme="minorHAnsi"/>
          <w:b/>
          <w:sz w:val="24"/>
        </w:rPr>
        <w:t xml:space="preserve"> </w:t>
      </w:r>
    </w:p>
    <w:p w14:paraId="6D131387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  <w:b/>
          <w:sz w:val="24"/>
        </w:rPr>
      </w:pPr>
    </w:p>
    <w:p w14:paraId="395A10BF" w14:textId="3C62F6CD" w:rsidR="000B21BB" w:rsidRPr="007B1199" w:rsidRDefault="00291AFF" w:rsidP="00C409B1">
      <w:pPr>
        <w:spacing w:after="0" w:line="360" w:lineRule="auto"/>
        <w:ind w:firstLine="360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Provedbeni program </w:t>
      </w:r>
      <w:r w:rsidR="0041760C" w:rsidRPr="007B1199">
        <w:rPr>
          <w:rFonts w:cstheme="minorHAnsi"/>
          <w:sz w:val="24"/>
        </w:rPr>
        <w:t>Međimurske županije</w:t>
      </w:r>
      <w:r w:rsidRPr="007B1199">
        <w:rPr>
          <w:rFonts w:cstheme="minorHAnsi"/>
          <w:sz w:val="24"/>
        </w:rPr>
        <w:t xml:space="preserve"> za razdoblje </w:t>
      </w:r>
      <w:r w:rsidR="0041760C" w:rsidRPr="007B1199">
        <w:rPr>
          <w:rFonts w:cstheme="minorHAnsi"/>
          <w:sz w:val="24"/>
        </w:rPr>
        <w:t>do</w:t>
      </w:r>
      <w:r w:rsidRPr="007B1199">
        <w:rPr>
          <w:rFonts w:cstheme="minorHAnsi"/>
          <w:sz w:val="24"/>
        </w:rPr>
        <w:t xml:space="preserve"> 2025. godine je temeljni </w:t>
      </w:r>
      <w:r w:rsidR="00CC5408" w:rsidRPr="007B1199">
        <w:rPr>
          <w:rFonts w:cstheme="minorHAnsi"/>
          <w:sz w:val="24"/>
        </w:rPr>
        <w:t xml:space="preserve">kratkoročni </w:t>
      </w:r>
      <w:r w:rsidRPr="007B1199">
        <w:rPr>
          <w:rFonts w:cstheme="minorHAnsi"/>
          <w:sz w:val="24"/>
        </w:rPr>
        <w:t xml:space="preserve">strateški </w:t>
      </w:r>
      <w:r w:rsidR="0041760C" w:rsidRPr="007B1199">
        <w:rPr>
          <w:rFonts w:cstheme="minorHAnsi"/>
          <w:sz w:val="24"/>
        </w:rPr>
        <w:t>akt</w:t>
      </w:r>
      <w:r w:rsidRPr="007B1199">
        <w:rPr>
          <w:rFonts w:cstheme="minorHAnsi"/>
          <w:sz w:val="24"/>
        </w:rPr>
        <w:t xml:space="preserve"> </w:t>
      </w:r>
      <w:r w:rsidR="0041760C" w:rsidRPr="007B1199">
        <w:rPr>
          <w:rFonts w:cstheme="minorHAnsi"/>
          <w:bCs/>
          <w:sz w:val="24"/>
        </w:rPr>
        <w:t xml:space="preserve">kojim će se osigurati provedba posebnih ciljeva utvrđenih u Planu razvoja Međimurske županije za razdoblje do 2027. godine, kao i poveznica mjera s odgovarajućim stavkama u proračunu Međimurske županije. </w:t>
      </w:r>
      <w:r w:rsidRPr="007B1199">
        <w:rPr>
          <w:rFonts w:cstheme="minorHAnsi"/>
          <w:sz w:val="24"/>
        </w:rPr>
        <w:t xml:space="preserve">Izrađen je u svrhu planiranja, organizacije, provedbe i kontrole </w:t>
      </w:r>
      <w:r w:rsidR="00CC5408" w:rsidRPr="007B1199">
        <w:rPr>
          <w:rFonts w:cstheme="minorHAnsi"/>
          <w:sz w:val="24"/>
        </w:rPr>
        <w:t xml:space="preserve">sveukupnog </w:t>
      </w:r>
      <w:r w:rsidRPr="007B1199">
        <w:rPr>
          <w:rFonts w:cstheme="minorHAnsi"/>
          <w:sz w:val="24"/>
        </w:rPr>
        <w:t xml:space="preserve">razvoja </w:t>
      </w:r>
      <w:r w:rsidR="0041760C" w:rsidRPr="007B1199">
        <w:rPr>
          <w:rFonts w:cstheme="minorHAnsi"/>
          <w:sz w:val="24"/>
        </w:rPr>
        <w:t>Međimurske županije</w:t>
      </w:r>
      <w:r w:rsidR="00CC5408" w:rsidRPr="007B1199">
        <w:rPr>
          <w:rFonts w:cstheme="minorHAnsi"/>
          <w:sz w:val="24"/>
        </w:rPr>
        <w:t xml:space="preserve"> te ima funkciju vodiča u procesu razvoja lokalne zajednice</w:t>
      </w:r>
      <w:r w:rsidRPr="007B1199">
        <w:rPr>
          <w:rFonts w:cstheme="minorHAnsi"/>
          <w:sz w:val="24"/>
        </w:rPr>
        <w:t>.</w:t>
      </w:r>
      <w:r w:rsidR="00CC5408" w:rsidRPr="007B1199">
        <w:rPr>
          <w:rFonts w:cstheme="minorHAnsi"/>
          <w:sz w:val="24"/>
        </w:rPr>
        <w:t xml:space="preserve"> Iako je temeljna premisa svake aktivnosti </w:t>
      </w:r>
      <w:r w:rsidR="0041760C" w:rsidRPr="007B1199">
        <w:rPr>
          <w:rFonts w:cstheme="minorHAnsi"/>
          <w:sz w:val="24"/>
        </w:rPr>
        <w:t>Međimurske županije</w:t>
      </w:r>
      <w:r w:rsidR="00CC5408" w:rsidRPr="007B1199">
        <w:rPr>
          <w:rFonts w:cstheme="minorHAnsi"/>
          <w:sz w:val="24"/>
        </w:rPr>
        <w:t xml:space="preserve"> zadovoljavanje potreba građana, ov</w:t>
      </w:r>
      <w:r w:rsidRPr="007B1199">
        <w:rPr>
          <w:rFonts w:cstheme="minorHAnsi"/>
          <w:sz w:val="24"/>
        </w:rPr>
        <w:t xml:space="preserve">aj dokument je i polazna osnova za prijavu na različite </w:t>
      </w:r>
      <w:r w:rsidR="0041760C" w:rsidRPr="007B1199">
        <w:rPr>
          <w:rFonts w:cstheme="minorHAnsi"/>
          <w:sz w:val="24"/>
        </w:rPr>
        <w:t xml:space="preserve">nacionalne i europske </w:t>
      </w:r>
      <w:r w:rsidRPr="007B1199">
        <w:rPr>
          <w:rFonts w:cstheme="minorHAnsi"/>
          <w:sz w:val="24"/>
        </w:rPr>
        <w:t>natječaje</w:t>
      </w:r>
      <w:r w:rsidR="00CC5408" w:rsidRPr="007B1199">
        <w:rPr>
          <w:rFonts w:cstheme="minorHAnsi"/>
          <w:sz w:val="24"/>
        </w:rPr>
        <w:t xml:space="preserve">. Sveukupnost općeg razvoja povećava mogućnosti za gospodarski razvoj </w:t>
      </w:r>
      <w:r w:rsidR="0041760C" w:rsidRPr="007B1199">
        <w:rPr>
          <w:rFonts w:cstheme="minorHAnsi"/>
          <w:sz w:val="24"/>
        </w:rPr>
        <w:t>Međimurske županije</w:t>
      </w:r>
      <w:r w:rsidR="00CC5408" w:rsidRPr="007B1199">
        <w:rPr>
          <w:rFonts w:cstheme="minorHAnsi"/>
          <w:sz w:val="24"/>
        </w:rPr>
        <w:t xml:space="preserve"> u čemu se oslanjamo i na prilike koje pruža Republika Hrvatska kao i Europska Unija.</w:t>
      </w:r>
      <w:r w:rsidR="00917A3C" w:rsidRPr="007B1199">
        <w:rPr>
          <w:rFonts w:cstheme="minorHAnsi"/>
          <w:sz w:val="24"/>
        </w:rPr>
        <w:t xml:space="preserve"> </w:t>
      </w:r>
    </w:p>
    <w:p w14:paraId="5AD1736E" w14:textId="77777777" w:rsidR="000B6D3B" w:rsidRPr="007B1199" w:rsidRDefault="000B6D3B" w:rsidP="00C409B1">
      <w:pPr>
        <w:spacing w:after="0" w:line="360" w:lineRule="auto"/>
        <w:ind w:firstLine="360"/>
        <w:jc w:val="both"/>
        <w:rPr>
          <w:rFonts w:cstheme="minorHAnsi"/>
          <w:sz w:val="24"/>
        </w:rPr>
      </w:pPr>
    </w:p>
    <w:p w14:paraId="1167C8CD" w14:textId="41B3952F" w:rsidR="00194F5A" w:rsidRPr="007B1199" w:rsidRDefault="00D459CB" w:rsidP="00C409B1">
      <w:pPr>
        <w:spacing w:after="0" w:line="360" w:lineRule="auto"/>
        <w:ind w:firstLine="360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U</w:t>
      </w:r>
      <w:r w:rsidR="00194F5A" w:rsidRPr="007B1199">
        <w:rPr>
          <w:rFonts w:cstheme="minorHAnsi"/>
          <w:sz w:val="24"/>
        </w:rPr>
        <w:t xml:space="preserve"> 202</w:t>
      </w:r>
      <w:r w:rsidR="00FF6FF9">
        <w:rPr>
          <w:rFonts w:cstheme="minorHAnsi"/>
          <w:sz w:val="24"/>
        </w:rPr>
        <w:t>4</w:t>
      </w:r>
      <w:r w:rsidR="00194F5A" w:rsidRPr="007B1199">
        <w:rPr>
          <w:rFonts w:cstheme="minorHAnsi"/>
          <w:sz w:val="24"/>
        </w:rPr>
        <w:t>. godin</w:t>
      </w:r>
      <w:r w:rsidRPr="007B1199">
        <w:rPr>
          <w:rFonts w:cstheme="minorHAnsi"/>
          <w:sz w:val="24"/>
        </w:rPr>
        <w:t>i</w:t>
      </w:r>
      <w:r w:rsidR="00194F5A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>otvoreni su</w:t>
      </w:r>
      <w:r w:rsidR="00194F5A" w:rsidRPr="007B1199">
        <w:rPr>
          <w:rFonts w:cstheme="minorHAnsi"/>
          <w:sz w:val="24"/>
        </w:rPr>
        <w:t xml:space="preserve"> natječaj</w:t>
      </w:r>
      <w:r w:rsidRPr="007B1199">
        <w:rPr>
          <w:rFonts w:cstheme="minorHAnsi"/>
          <w:sz w:val="24"/>
        </w:rPr>
        <w:t>i</w:t>
      </w:r>
      <w:r w:rsidR="00194F5A" w:rsidRPr="007B1199">
        <w:rPr>
          <w:rFonts w:cstheme="minorHAnsi"/>
          <w:sz w:val="24"/>
        </w:rPr>
        <w:t xml:space="preserve"> iz nove financijske perspektive te </w:t>
      </w:r>
      <w:r w:rsidRPr="007B1199">
        <w:rPr>
          <w:rFonts w:cstheme="minorHAnsi"/>
          <w:sz w:val="24"/>
        </w:rPr>
        <w:t xml:space="preserve">su u </w:t>
      </w:r>
      <w:r w:rsidR="00194F5A" w:rsidRPr="007B1199">
        <w:rPr>
          <w:rFonts w:cstheme="minorHAnsi"/>
          <w:sz w:val="24"/>
        </w:rPr>
        <w:t>provedb</w:t>
      </w:r>
      <w:r w:rsidRPr="007B1199">
        <w:rPr>
          <w:rFonts w:cstheme="minorHAnsi"/>
          <w:sz w:val="24"/>
        </w:rPr>
        <w:t>i</w:t>
      </w:r>
      <w:r w:rsidR="00194F5A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>projekti financirani sredstvima</w:t>
      </w:r>
      <w:r w:rsidR="00194F5A" w:rsidRPr="007B1199">
        <w:rPr>
          <w:rFonts w:cstheme="minorHAnsi"/>
          <w:sz w:val="24"/>
        </w:rPr>
        <w:t xml:space="preserve"> Nacionalnog plana za oporavak i otpornost 2021. – 2026. (NPOO), a za koje je dio projektne dokumentacije pripreman u sklopu Razvojnog sporazuma Sjeverne Hrvatske. </w:t>
      </w:r>
    </w:p>
    <w:p w14:paraId="0F9775F2" w14:textId="77777777" w:rsidR="000B6D3B" w:rsidRPr="007B1199" w:rsidRDefault="000B6D3B" w:rsidP="00C409B1">
      <w:pPr>
        <w:spacing w:after="0" w:line="360" w:lineRule="auto"/>
        <w:ind w:firstLine="360"/>
        <w:jc w:val="both"/>
        <w:rPr>
          <w:rFonts w:cstheme="minorHAnsi"/>
          <w:sz w:val="24"/>
        </w:rPr>
      </w:pPr>
    </w:p>
    <w:p w14:paraId="0FE1058D" w14:textId="57F06D64" w:rsidR="005757B2" w:rsidRPr="007B1199" w:rsidRDefault="000B21BB" w:rsidP="00C409B1">
      <w:pPr>
        <w:spacing w:after="0" w:line="360" w:lineRule="auto"/>
        <w:ind w:firstLine="360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U ovome Izvješću iskazane su ostvarene vrijednosti </w:t>
      </w:r>
      <w:r w:rsidR="00657453" w:rsidRPr="007B1199">
        <w:rPr>
          <w:rFonts w:cstheme="minorHAnsi"/>
          <w:sz w:val="24"/>
        </w:rPr>
        <w:t>indikator</w:t>
      </w:r>
      <w:r w:rsidRPr="007B1199">
        <w:rPr>
          <w:rFonts w:cstheme="minorHAnsi"/>
          <w:sz w:val="24"/>
        </w:rPr>
        <w:t>a rezultata</w:t>
      </w:r>
      <w:r w:rsidR="00657453" w:rsidRPr="007B1199">
        <w:rPr>
          <w:rFonts w:cstheme="minorHAnsi"/>
          <w:sz w:val="24"/>
        </w:rPr>
        <w:t xml:space="preserve"> koji se odnose na ključne točke ostvarenja prioriteta djelovanja iz Provedbenog programa za razdoblje 1. siječnja 202</w:t>
      </w:r>
      <w:r w:rsidR="00250617">
        <w:rPr>
          <w:rFonts w:cstheme="minorHAnsi"/>
          <w:sz w:val="24"/>
        </w:rPr>
        <w:t>4</w:t>
      </w:r>
      <w:r w:rsidR="00657453" w:rsidRPr="007B1199">
        <w:rPr>
          <w:rFonts w:cstheme="minorHAnsi"/>
          <w:sz w:val="24"/>
        </w:rPr>
        <w:t>. godine do 3</w:t>
      </w:r>
      <w:r w:rsidR="00AA11A3" w:rsidRPr="007B1199">
        <w:rPr>
          <w:rFonts w:cstheme="minorHAnsi"/>
          <w:sz w:val="24"/>
        </w:rPr>
        <w:t>1</w:t>
      </w:r>
      <w:r w:rsidR="00657453" w:rsidRPr="007B1199">
        <w:rPr>
          <w:rFonts w:cstheme="minorHAnsi"/>
          <w:sz w:val="24"/>
        </w:rPr>
        <w:t xml:space="preserve">. </w:t>
      </w:r>
      <w:r w:rsidR="00AA11A3" w:rsidRPr="007B1199">
        <w:rPr>
          <w:rFonts w:cstheme="minorHAnsi"/>
          <w:sz w:val="24"/>
        </w:rPr>
        <w:t>prosinc</w:t>
      </w:r>
      <w:r w:rsidR="00657453" w:rsidRPr="007B1199">
        <w:rPr>
          <w:rFonts w:cstheme="minorHAnsi"/>
          <w:sz w:val="24"/>
        </w:rPr>
        <w:t>a 202</w:t>
      </w:r>
      <w:r w:rsidR="00250617">
        <w:rPr>
          <w:rFonts w:cstheme="minorHAnsi"/>
          <w:sz w:val="24"/>
        </w:rPr>
        <w:t>4</w:t>
      </w:r>
      <w:r w:rsidR="00657453" w:rsidRPr="007B1199">
        <w:rPr>
          <w:rFonts w:cstheme="minorHAnsi"/>
          <w:sz w:val="24"/>
        </w:rPr>
        <w:t xml:space="preserve">. godine. </w:t>
      </w:r>
    </w:p>
    <w:p w14:paraId="274889AC" w14:textId="77777777" w:rsidR="00657453" w:rsidRPr="007B1199" w:rsidRDefault="00657453" w:rsidP="00C409B1">
      <w:pPr>
        <w:spacing w:after="0" w:line="360" w:lineRule="auto"/>
        <w:ind w:firstLine="360"/>
        <w:jc w:val="both"/>
        <w:rPr>
          <w:rFonts w:cstheme="minorHAnsi"/>
          <w:i/>
          <w:sz w:val="24"/>
        </w:rPr>
      </w:pPr>
    </w:p>
    <w:p w14:paraId="469EAE17" w14:textId="77777777" w:rsidR="005757B2" w:rsidRPr="007B1199" w:rsidRDefault="005757B2" w:rsidP="00C409B1">
      <w:pPr>
        <w:spacing w:after="0" w:line="360" w:lineRule="auto"/>
        <w:jc w:val="both"/>
        <w:rPr>
          <w:rFonts w:cstheme="minorHAnsi"/>
          <w:b/>
        </w:rPr>
      </w:pPr>
      <w:r w:rsidRPr="007B1199">
        <w:rPr>
          <w:rFonts w:cstheme="minorHAnsi"/>
          <w:b/>
        </w:rPr>
        <w:br w:type="page"/>
      </w:r>
    </w:p>
    <w:p w14:paraId="50898737" w14:textId="77777777" w:rsidR="005757B2" w:rsidRPr="007B1199" w:rsidRDefault="005757B2" w:rsidP="00C409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1"/>
        <w:rPr>
          <w:rFonts w:cstheme="minorHAnsi"/>
          <w:b/>
          <w:sz w:val="24"/>
        </w:rPr>
      </w:pPr>
      <w:bookmarkStart w:id="2" w:name="_Toc190849015"/>
      <w:r w:rsidRPr="007B1199">
        <w:rPr>
          <w:rFonts w:cstheme="minorHAnsi"/>
          <w:b/>
          <w:sz w:val="24"/>
        </w:rPr>
        <w:lastRenderedPageBreak/>
        <w:t>IZVJEŠĆE O NAPRETKU U PROVEDBI MJERA</w:t>
      </w:r>
      <w:bookmarkEnd w:id="2"/>
    </w:p>
    <w:p w14:paraId="4715212C" w14:textId="77777777" w:rsidR="00A838FF" w:rsidRPr="007B1199" w:rsidRDefault="00A838FF" w:rsidP="00C409B1">
      <w:pPr>
        <w:pStyle w:val="ListParagraph"/>
        <w:spacing w:after="0" w:line="360" w:lineRule="auto"/>
        <w:jc w:val="both"/>
        <w:rPr>
          <w:rFonts w:cstheme="minorHAnsi"/>
          <w:b/>
          <w:sz w:val="24"/>
        </w:rPr>
      </w:pPr>
    </w:p>
    <w:p w14:paraId="6A08B73B" w14:textId="56654EA9" w:rsidR="00B90482" w:rsidRPr="007B1199" w:rsidRDefault="0049241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Izvješće prikazuje napredak u provedbi mjera koje su započele sa realizacijom</w:t>
      </w:r>
      <w:r w:rsidR="00357B1B" w:rsidRPr="007B1199">
        <w:rPr>
          <w:rFonts w:cstheme="minorHAnsi"/>
          <w:sz w:val="24"/>
        </w:rPr>
        <w:t xml:space="preserve"> u  202</w:t>
      </w:r>
      <w:r w:rsidR="00250617">
        <w:rPr>
          <w:rFonts w:cstheme="minorHAnsi"/>
          <w:sz w:val="24"/>
        </w:rPr>
        <w:t>4</w:t>
      </w:r>
      <w:r w:rsidR="00357B1B" w:rsidRPr="007B1199">
        <w:rPr>
          <w:rFonts w:cstheme="minorHAnsi"/>
          <w:sz w:val="24"/>
        </w:rPr>
        <w:t>. godin</w:t>
      </w:r>
      <w:r w:rsidR="00395A1B" w:rsidRPr="007B1199">
        <w:rPr>
          <w:rFonts w:cstheme="minorHAnsi"/>
          <w:sz w:val="24"/>
        </w:rPr>
        <w:t>i</w:t>
      </w:r>
      <w:r w:rsidR="00357B1B" w:rsidRPr="007B1199">
        <w:rPr>
          <w:rFonts w:cstheme="minorHAnsi"/>
          <w:sz w:val="24"/>
        </w:rPr>
        <w:t xml:space="preserve">. </w:t>
      </w:r>
      <w:r w:rsidR="00B90482" w:rsidRPr="007B1199">
        <w:rPr>
          <w:rFonts w:cstheme="minorHAnsi"/>
          <w:sz w:val="24"/>
        </w:rPr>
        <w:t xml:space="preserve">U navedenom razdoblju </w:t>
      </w:r>
      <w:r w:rsidR="00221D25">
        <w:rPr>
          <w:rFonts w:cstheme="minorHAnsi"/>
          <w:sz w:val="24"/>
        </w:rPr>
        <w:t xml:space="preserve">realizirane </w:t>
      </w:r>
      <w:r w:rsidR="00221D25" w:rsidRPr="00221D25">
        <w:rPr>
          <w:rFonts w:cstheme="minorHAnsi"/>
          <w:sz w:val="24"/>
        </w:rPr>
        <w:t>su</w:t>
      </w:r>
      <w:r w:rsidR="00B90482" w:rsidRPr="00221D25">
        <w:rPr>
          <w:rFonts w:cstheme="minorHAnsi"/>
          <w:sz w:val="24"/>
        </w:rPr>
        <w:t xml:space="preserve"> aktivnosti </w:t>
      </w:r>
      <w:r w:rsidR="00D8416F" w:rsidRPr="00221D25">
        <w:rPr>
          <w:rFonts w:cstheme="minorHAnsi"/>
          <w:sz w:val="24"/>
        </w:rPr>
        <w:t xml:space="preserve">iz </w:t>
      </w:r>
      <w:r w:rsidR="00221D25" w:rsidRPr="00221D25">
        <w:rPr>
          <w:rFonts w:cstheme="minorHAnsi"/>
          <w:sz w:val="24"/>
        </w:rPr>
        <w:t>30</w:t>
      </w:r>
      <w:r w:rsidR="00D8416F" w:rsidRPr="00221D25">
        <w:rPr>
          <w:rFonts w:cstheme="minorHAnsi"/>
          <w:sz w:val="24"/>
        </w:rPr>
        <w:t xml:space="preserve"> mjera od planiran</w:t>
      </w:r>
      <w:r w:rsidR="00821506" w:rsidRPr="00221D25">
        <w:rPr>
          <w:rFonts w:cstheme="minorHAnsi"/>
          <w:sz w:val="24"/>
        </w:rPr>
        <w:t>e</w:t>
      </w:r>
      <w:r w:rsidR="00D8416F" w:rsidRPr="00221D25">
        <w:rPr>
          <w:rFonts w:cstheme="minorHAnsi"/>
          <w:sz w:val="24"/>
        </w:rPr>
        <w:t xml:space="preserve"> 31 mjer</w:t>
      </w:r>
      <w:r w:rsidR="00821506" w:rsidRPr="00221D25">
        <w:rPr>
          <w:rFonts w:cstheme="minorHAnsi"/>
          <w:sz w:val="24"/>
        </w:rPr>
        <w:t>e jer s</w:t>
      </w:r>
      <w:r w:rsidR="001B66C1" w:rsidRPr="00221D25">
        <w:rPr>
          <w:rFonts w:cstheme="minorHAnsi"/>
          <w:sz w:val="24"/>
        </w:rPr>
        <w:t>u neke aktivnosti završene tijekom 2022</w:t>
      </w:r>
      <w:r w:rsidR="00D8416F" w:rsidRPr="00221D25">
        <w:rPr>
          <w:rFonts w:cstheme="minorHAnsi"/>
          <w:sz w:val="24"/>
        </w:rPr>
        <w:t>.</w:t>
      </w:r>
      <w:r w:rsidR="00221D25" w:rsidRPr="00221D25">
        <w:rPr>
          <w:rFonts w:cstheme="minorHAnsi"/>
          <w:sz w:val="24"/>
        </w:rPr>
        <w:t xml:space="preserve"> ili 2023. godine</w:t>
      </w:r>
      <w:r w:rsidR="00D8416F" w:rsidRPr="00221D25">
        <w:rPr>
          <w:rFonts w:cstheme="minorHAnsi"/>
          <w:sz w:val="24"/>
        </w:rPr>
        <w:t xml:space="preserve"> </w:t>
      </w:r>
      <w:r w:rsidR="00331D7C" w:rsidRPr="00221D25">
        <w:rPr>
          <w:rFonts w:cstheme="minorHAnsi"/>
          <w:sz w:val="24"/>
        </w:rPr>
        <w:t xml:space="preserve">Ukupna vrijednost aktivnosti prikazanih u </w:t>
      </w:r>
      <w:r w:rsidR="00331D7C" w:rsidRPr="000D77D8">
        <w:rPr>
          <w:rFonts w:cstheme="minorHAnsi"/>
          <w:sz w:val="24"/>
        </w:rPr>
        <w:t xml:space="preserve">Izvješću je </w:t>
      </w:r>
      <w:r w:rsidR="000A5347" w:rsidRPr="000D77D8">
        <w:rPr>
          <w:rFonts w:cstheme="minorHAnsi"/>
          <w:sz w:val="24"/>
        </w:rPr>
        <w:t>2</w:t>
      </w:r>
      <w:r w:rsidR="00EA4B94" w:rsidRPr="000D77D8">
        <w:rPr>
          <w:rFonts w:cstheme="minorHAnsi"/>
          <w:sz w:val="24"/>
        </w:rPr>
        <w:t>9</w:t>
      </w:r>
      <w:r w:rsidR="000A5347" w:rsidRPr="000D77D8">
        <w:rPr>
          <w:rFonts w:cstheme="minorHAnsi"/>
          <w:sz w:val="24"/>
        </w:rPr>
        <w:t>.</w:t>
      </w:r>
      <w:r w:rsidR="00EA4B94" w:rsidRPr="000D77D8">
        <w:rPr>
          <w:rFonts w:cstheme="minorHAnsi"/>
          <w:sz w:val="24"/>
        </w:rPr>
        <w:t>803</w:t>
      </w:r>
      <w:r w:rsidR="000A5347" w:rsidRPr="000D77D8">
        <w:rPr>
          <w:rFonts w:cstheme="minorHAnsi"/>
          <w:sz w:val="24"/>
        </w:rPr>
        <w:t>.</w:t>
      </w:r>
      <w:r w:rsidR="00EA4B94" w:rsidRPr="000D77D8">
        <w:rPr>
          <w:rFonts w:cstheme="minorHAnsi"/>
          <w:sz w:val="24"/>
        </w:rPr>
        <w:t>110</w:t>
      </w:r>
      <w:r w:rsidR="000A5347" w:rsidRPr="000D77D8">
        <w:rPr>
          <w:rFonts w:cstheme="minorHAnsi"/>
          <w:sz w:val="24"/>
        </w:rPr>
        <w:t>,</w:t>
      </w:r>
      <w:r w:rsidR="00EA4B94" w:rsidRPr="000D77D8">
        <w:rPr>
          <w:rFonts w:cstheme="minorHAnsi"/>
          <w:sz w:val="24"/>
        </w:rPr>
        <w:t>92</w:t>
      </w:r>
      <w:r w:rsidR="000A5347" w:rsidRPr="000D77D8">
        <w:rPr>
          <w:rFonts w:cstheme="minorHAnsi"/>
          <w:sz w:val="24"/>
        </w:rPr>
        <w:t xml:space="preserve"> </w:t>
      </w:r>
      <w:r w:rsidR="009C6B5F" w:rsidRPr="000D77D8">
        <w:rPr>
          <w:rFonts w:cstheme="minorHAnsi"/>
          <w:sz w:val="24"/>
        </w:rPr>
        <w:t>EUR</w:t>
      </w:r>
      <w:r w:rsidR="00331D7C" w:rsidRPr="000D77D8">
        <w:rPr>
          <w:rFonts w:cstheme="minorHAnsi"/>
          <w:sz w:val="24"/>
        </w:rPr>
        <w:t>.</w:t>
      </w:r>
      <w:r w:rsidR="000A7423">
        <w:rPr>
          <w:rFonts w:cstheme="minorHAnsi"/>
          <w:sz w:val="24"/>
        </w:rPr>
        <w:t xml:space="preserve"> Ukupna vrijednost aktivnosti odnosi se na financijska sredstva utrošena za cijelu mjeru, ne </w:t>
      </w:r>
      <w:r w:rsidR="000D77D8">
        <w:rPr>
          <w:rFonts w:cstheme="minorHAnsi"/>
          <w:sz w:val="24"/>
        </w:rPr>
        <w:t xml:space="preserve">na pojedini pokazatelj rezultata. </w:t>
      </w:r>
      <w:r w:rsidR="000A7423">
        <w:rPr>
          <w:rFonts w:cstheme="minorHAnsi"/>
          <w:sz w:val="24"/>
        </w:rPr>
        <w:t xml:space="preserve"> </w:t>
      </w:r>
    </w:p>
    <w:p w14:paraId="1C3CF618" w14:textId="77777777" w:rsidR="000B6D3B" w:rsidRPr="007B1199" w:rsidRDefault="000B6D3B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78E10311" w14:textId="2CC60D16" w:rsidR="005C0661" w:rsidRPr="007B1199" w:rsidRDefault="00734175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</w:t>
      </w:r>
      <w:r w:rsidR="006B2E32" w:rsidRPr="007B1199">
        <w:rPr>
          <w:rFonts w:cstheme="minorHAnsi"/>
          <w:b/>
          <w:bCs/>
          <w:sz w:val="24"/>
        </w:rPr>
        <w:t>jera</w:t>
      </w:r>
      <w:r w:rsidRPr="007B1199">
        <w:rPr>
          <w:rFonts w:cstheme="minorHAnsi"/>
          <w:b/>
          <w:bCs/>
          <w:sz w:val="24"/>
        </w:rPr>
        <w:t xml:space="preserve"> 1</w:t>
      </w:r>
      <w:r w:rsidR="005C0661" w:rsidRPr="007B1199">
        <w:rPr>
          <w:rFonts w:cstheme="minorHAnsi"/>
          <w:b/>
          <w:bCs/>
          <w:sz w:val="24"/>
        </w:rPr>
        <w:t>, posebni cilj 1: Konkurentno i inovativno gospodarstvo</w:t>
      </w:r>
    </w:p>
    <w:p w14:paraId="007793ED" w14:textId="496A1736" w:rsidR="005C0661" w:rsidRPr="007B1199" w:rsidRDefault="009D36D8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Tijekom 202</w:t>
      </w:r>
      <w:r w:rsidR="00C919FB">
        <w:rPr>
          <w:rFonts w:cstheme="minorHAnsi"/>
          <w:sz w:val="24"/>
        </w:rPr>
        <w:t>4</w:t>
      </w:r>
      <w:r w:rsidRPr="007B1199">
        <w:rPr>
          <w:rFonts w:cstheme="minorHAnsi"/>
          <w:sz w:val="24"/>
        </w:rPr>
        <w:t xml:space="preserve">. godine </w:t>
      </w:r>
      <w:r w:rsidR="00734175" w:rsidRPr="007B1199">
        <w:rPr>
          <w:rFonts w:cstheme="minorHAnsi"/>
          <w:sz w:val="24"/>
        </w:rPr>
        <w:t xml:space="preserve">Međimurska županija </w:t>
      </w:r>
      <w:r w:rsidR="00175C8D" w:rsidRPr="007B1199">
        <w:rPr>
          <w:rFonts w:cstheme="minorHAnsi"/>
          <w:sz w:val="24"/>
        </w:rPr>
        <w:t xml:space="preserve">za provedbu </w:t>
      </w:r>
      <w:r w:rsidR="00175C8D" w:rsidRPr="007B1199">
        <w:rPr>
          <w:rFonts w:cstheme="minorHAnsi"/>
          <w:i/>
          <w:iCs/>
          <w:sz w:val="24"/>
        </w:rPr>
        <w:t>mjere 1.1.1. Jačanje usluga potpore poduzetništvu</w:t>
      </w:r>
      <w:r w:rsidR="00175C8D" w:rsidRPr="007B1199">
        <w:rPr>
          <w:rFonts w:cstheme="minorHAnsi"/>
          <w:sz w:val="24"/>
        </w:rPr>
        <w:t xml:space="preserve"> </w:t>
      </w:r>
      <w:r w:rsidR="00734175" w:rsidRPr="007B1199">
        <w:rPr>
          <w:rFonts w:cstheme="minorHAnsi"/>
          <w:sz w:val="24"/>
        </w:rPr>
        <w:t xml:space="preserve">dodijelila je </w:t>
      </w:r>
      <w:r w:rsidR="00B748D2">
        <w:rPr>
          <w:rFonts w:cstheme="minorHAnsi"/>
          <w:sz w:val="24"/>
        </w:rPr>
        <w:t>14</w:t>
      </w:r>
      <w:r w:rsidR="00734175" w:rsidRPr="007B1199">
        <w:rPr>
          <w:rFonts w:cstheme="minorHAnsi"/>
          <w:sz w:val="24"/>
        </w:rPr>
        <w:t xml:space="preserve"> potpora male vrijednosti za poticanje poduzetništva te </w:t>
      </w:r>
      <w:r w:rsidR="00B748D2">
        <w:rPr>
          <w:rFonts w:cstheme="minorHAnsi"/>
          <w:sz w:val="24"/>
        </w:rPr>
        <w:t>100</w:t>
      </w:r>
      <w:r w:rsidR="00D827C1" w:rsidRPr="007B1199">
        <w:rPr>
          <w:rFonts w:cstheme="minorHAnsi"/>
          <w:sz w:val="24"/>
        </w:rPr>
        <w:t xml:space="preserve"> </w:t>
      </w:r>
      <w:r w:rsidR="00734175" w:rsidRPr="007B1199">
        <w:rPr>
          <w:rFonts w:cstheme="minorHAnsi"/>
          <w:sz w:val="24"/>
        </w:rPr>
        <w:t xml:space="preserve">potpora za financijske potpore i instrumente. Iznos utrošenih sredstava na ove aktivnosti iznosio je </w:t>
      </w:r>
      <w:r w:rsidR="00B748D2">
        <w:rPr>
          <w:rFonts w:cstheme="minorHAnsi"/>
          <w:sz w:val="24"/>
        </w:rPr>
        <w:t>160.113,81</w:t>
      </w:r>
      <w:r w:rsidR="009C6B5F" w:rsidRPr="007B1199">
        <w:rPr>
          <w:rFonts w:cstheme="minorHAnsi"/>
          <w:sz w:val="24"/>
        </w:rPr>
        <w:t xml:space="preserve"> EUR</w:t>
      </w:r>
      <w:r w:rsidR="00734175" w:rsidRPr="007B1199">
        <w:rPr>
          <w:rFonts w:cstheme="minorHAnsi"/>
          <w:sz w:val="24"/>
        </w:rPr>
        <w:t>.</w:t>
      </w:r>
    </w:p>
    <w:p w14:paraId="1EF23DE7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CED1AFB" w14:textId="44F0C834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2, posebni cilj 1.1.: Konkurentno i inovativno gospodarstvo</w:t>
      </w:r>
    </w:p>
    <w:p w14:paraId="61ACAA4D" w14:textId="5C9B47B4" w:rsidR="00734175" w:rsidRPr="007B1199" w:rsidRDefault="00734175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i/>
          <w:iCs/>
          <w:sz w:val="24"/>
        </w:rPr>
        <w:t>M</w:t>
      </w:r>
      <w:r w:rsidR="006B2E32" w:rsidRPr="007B1199">
        <w:rPr>
          <w:rFonts w:cstheme="minorHAnsi"/>
          <w:i/>
          <w:iCs/>
          <w:sz w:val="24"/>
        </w:rPr>
        <w:t>jera</w:t>
      </w:r>
      <w:r w:rsidRPr="007B1199">
        <w:rPr>
          <w:rFonts w:cstheme="minorHAnsi"/>
          <w:i/>
          <w:iCs/>
          <w:sz w:val="24"/>
        </w:rPr>
        <w:t xml:space="preserve"> 1.1.2. Poticanje primjene novih tehnologija i inovacija u javnom, gospodarskom i znanstvenom sektoru</w:t>
      </w:r>
      <w:r w:rsidR="00943554" w:rsidRPr="007B1199">
        <w:rPr>
          <w:rFonts w:cstheme="minorHAnsi"/>
          <w:sz w:val="24"/>
        </w:rPr>
        <w:t xml:space="preserve"> odnosila se je na aktivnosti razvoja i pružanje potpore poduzetničkim institucijama i pružanje potpora MSP-ima te je za ovu mjeru </w:t>
      </w:r>
      <w:r w:rsidR="003A1105" w:rsidRPr="007B1199">
        <w:rPr>
          <w:rFonts w:cstheme="minorHAnsi"/>
          <w:sz w:val="24"/>
        </w:rPr>
        <w:t xml:space="preserve">izdvojeno </w:t>
      </w:r>
      <w:r w:rsidR="00B63439">
        <w:rPr>
          <w:rFonts w:cstheme="minorHAnsi"/>
          <w:sz w:val="24"/>
        </w:rPr>
        <w:t>59.962,87 EUR</w:t>
      </w:r>
      <w:r w:rsidR="003A1105" w:rsidRPr="007B1199">
        <w:rPr>
          <w:rFonts w:cstheme="minorHAnsi"/>
          <w:sz w:val="24"/>
        </w:rPr>
        <w:t xml:space="preserve"> i to za 5</w:t>
      </w:r>
      <w:r w:rsidR="00B63439">
        <w:rPr>
          <w:rFonts w:cstheme="minorHAnsi"/>
          <w:sz w:val="24"/>
        </w:rPr>
        <w:t>8</w:t>
      </w:r>
      <w:r w:rsidR="003A1105" w:rsidRPr="007B1199">
        <w:rPr>
          <w:rFonts w:cstheme="minorHAnsi"/>
          <w:sz w:val="24"/>
        </w:rPr>
        <w:t xml:space="preserve"> inkubiranih poduzeća i </w:t>
      </w:r>
      <w:r w:rsidR="00B63439">
        <w:rPr>
          <w:rFonts w:cstheme="minorHAnsi"/>
          <w:sz w:val="24"/>
        </w:rPr>
        <w:t>6</w:t>
      </w:r>
      <w:r w:rsidR="003A1105" w:rsidRPr="007B1199">
        <w:rPr>
          <w:rFonts w:cstheme="minorHAnsi"/>
          <w:sz w:val="24"/>
        </w:rPr>
        <w:t xml:space="preserve"> projekta energetske obnove.</w:t>
      </w:r>
    </w:p>
    <w:p w14:paraId="2C44900C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265D736A" w14:textId="643D4A1B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3, posebni cilj 1.1.: Konkurentno i inovativno gospodarstvo</w:t>
      </w:r>
    </w:p>
    <w:p w14:paraId="6E744FFA" w14:textId="607A19C8" w:rsidR="006B2E32" w:rsidRPr="007B1199" w:rsidRDefault="00943554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aktivnosti jačanja malog i srednjeg poduzetništva u sklopu </w:t>
      </w:r>
      <w:r w:rsidRPr="007B1199">
        <w:rPr>
          <w:rFonts w:cstheme="minorHAnsi"/>
          <w:i/>
          <w:iCs/>
          <w:sz w:val="24"/>
        </w:rPr>
        <w:t xml:space="preserve">mjere </w:t>
      </w:r>
      <w:r w:rsidR="006B2E32" w:rsidRPr="007B1199">
        <w:rPr>
          <w:rFonts w:cstheme="minorHAnsi"/>
          <w:i/>
          <w:iCs/>
          <w:sz w:val="24"/>
        </w:rPr>
        <w:t>1.1.3. Promicanje kružnog i održivog gospodarstva</w:t>
      </w:r>
      <w:r w:rsidR="006B2E32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>izdvojen</w:t>
      </w:r>
      <w:r w:rsidR="00D454EE" w:rsidRPr="007B1199">
        <w:rPr>
          <w:rFonts w:cstheme="minorHAnsi"/>
          <w:sz w:val="24"/>
        </w:rPr>
        <w:t>o</w:t>
      </w:r>
      <w:r w:rsidRPr="007B1199">
        <w:rPr>
          <w:rFonts w:cstheme="minorHAnsi"/>
          <w:sz w:val="24"/>
        </w:rPr>
        <w:t xml:space="preserve"> </w:t>
      </w:r>
      <w:r w:rsidR="00D454EE" w:rsidRPr="007B1199">
        <w:rPr>
          <w:rFonts w:cstheme="minorHAnsi"/>
          <w:sz w:val="24"/>
        </w:rPr>
        <w:t>je</w:t>
      </w:r>
      <w:r w:rsidRPr="007B1199">
        <w:rPr>
          <w:rFonts w:cstheme="minorHAnsi"/>
          <w:sz w:val="24"/>
        </w:rPr>
        <w:t xml:space="preserve"> </w:t>
      </w:r>
      <w:r w:rsidR="00B63439">
        <w:rPr>
          <w:rFonts w:cstheme="minorHAnsi"/>
          <w:sz w:val="24"/>
        </w:rPr>
        <w:t>3.305,89</w:t>
      </w:r>
      <w:r w:rsidR="00D454EE" w:rsidRPr="007B1199">
        <w:rPr>
          <w:rFonts w:cstheme="minorHAnsi"/>
          <w:sz w:val="24"/>
        </w:rPr>
        <w:t xml:space="preserve"> EUR</w:t>
      </w:r>
      <w:r w:rsidRPr="007B1199">
        <w:rPr>
          <w:rFonts w:cstheme="minorHAnsi"/>
          <w:sz w:val="24"/>
        </w:rPr>
        <w:t xml:space="preserve">. </w:t>
      </w:r>
    </w:p>
    <w:p w14:paraId="6B721CBB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0A948AE2" w14:textId="1E50D822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4, posebni cilj 1.1.: Konkurentno i inovativno gospodarstvo</w:t>
      </w:r>
    </w:p>
    <w:p w14:paraId="44B44A90" w14:textId="71BC5F4A" w:rsidR="006B2E32" w:rsidRPr="007B1199" w:rsidRDefault="00D05EA4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B13AA2" w:rsidRPr="007B1199">
        <w:rPr>
          <w:rFonts w:cstheme="minorHAnsi"/>
          <w:sz w:val="24"/>
        </w:rPr>
        <w:t xml:space="preserve"> aktivnosti jačanja poduzetničke infrastrukture u sklopu </w:t>
      </w:r>
      <w:r w:rsidR="00B13AA2" w:rsidRPr="007B1199">
        <w:rPr>
          <w:rFonts w:cstheme="minorHAnsi"/>
          <w:i/>
          <w:iCs/>
          <w:sz w:val="24"/>
        </w:rPr>
        <w:t xml:space="preserve">mjere </w:t>
      </w:r>
      <w:r w:rsidR="006B2E32" w:rsidRPr="007B1199">
        <w:rPr>
          <w:rFonts w:cstheme="minorHAnsi"/>
          <w:i/>
          <w:iCs/>
          <w:sz w:val="24"/>
        </w:rPr>
        <w:t>1.1.5. Proaktivno pristupanje privlačenju ulaganja i razvoju gospodarskih zona</w:t>
      </w:r>
      <w:r w:rsidR="00B13AA2" w:rsidRPr="007B1199">
        <w:rPr>
          <w:rFonts w:cstheme="minorHAnsi"/>
          <w:sz w:val="24"/>
        </w:rPr>
        <w:t xml:space="preserve"> izdvojeno je </w:t>
      </w:r>
      <w:r w:rsidR="00B63439">
        <w:rPr>
          <w:rFonts w:cstheme="minorHAnsi"/>
          <w:sz w:val="24"/>
        </w:rPr>
        <w:t>516.787,60</w:t>
      </w:r>
      <w:r w:rsidR="00ED01C3" w:rsidRPr="007B1199">
        <w:rPr>
          <w:rFonts w:cstheme="minorHAnsi"/>
          <w:sz w:val="24"/>
        </w:rPr>
        <w:t xml:space="preserve"> EUR</w:t>
      </w:r>
      <w:r w:rsidR="00B13AA2" w:rsidRPr="007B1199">
        <w:rPr>
          <w:rFonts w:cstheme="minorHAnsi"/>
          <w:sz w:val="24"/>
        </w:rPr>
        <w:t>.</w:t>
      </w:r>
    </w:p>
    <w:p w14:paraId="0F94354B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5F2A923" w14:textId="1E806087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5, posebni cilj 1.1.: Konkurentno i inovativno gospodarstvo</w:t>
      </w:r>
    </w:p>
    <w:p w14:paraId="7B64F7DC" w14:textId="37E646F7" w:rsidR="006B2E32" w:rsidRPr="007B1199" w:rsidRDefault="00D05EA4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U sklopu</w:t>
      </w:r>
      <w:r w:rsidR="00175C8D" w:rsidRPr="007B1199">
        <w:rPr>
          <w:rFonts w:cstheme="minorHAnsi"/>
          <w:sz w:val="24"/>
        </w:rPr>
        <w:t xml:space="preserve"> </w:t>
      </w:r>
      <w:r w:rsidR="00175C8D" w:rsidRPr="007B1199">
        <w:rPr>
          <w:rFonts w:cstheme="minorHAnsi"/>
          <w:i/>
          <w:iCs/>
          <w:sz w:val="24"/>
        </w:rPr>
        <w:t>mjere 1.1.6. Promocija međimurskog gospodarstva na domaćim i stranim tržištima</w:t>
      </w:r>
      <w:r w:rsidR="00BF084E" w:rsidRPr="007B1199">
        <w:rPr>
          <w:rFonts w:cstheme="minorHAnsi"/>
          <w:sz w:val="24"/>
        </w:rPr>
        <w:t xml:space="preserve"> </w:t>
      </w:r>
      <w:r w:rsidR="001E422D" w:rsidRPr="007B1199">
        <w:rPr>
          <w:rFonts w:cstheme="minorHAnsi"/>
          <w:sz w:val="24"/>
        </w:rPr>
        <w:t xml:space="preserve">održano je </w:t>
      </w:r>
      <w:r w:rsidR="00FB73C5">
        <w:rPr>
          <w:rFonts w:cstheme="minorHAnsi"/>
          <w:sz w:val="24"/>
        </w:rPr>
        <w:t>8</w:t>
      </w:r>
      <w:r w:rsidR="001E422D" w:rsidRPr="007B1199">
        <w:rPr>
          <w:rFonts w:cstheme="minorHAnsi"/>
          <w:sz w:val="24"/>
        </w:rPr>
        <w:t xml:space="preserve"> sajmova u svrhu</w:t>
      </w:r>
      <w:r w:rsidR="004C5D4D" w:rsidRPr="007B1199">
        <w:rPr>
          <w:rFonts w:cstheme="minorHAnsi"/>
          <w:sz w:val="24"/>
        </w:rPr>
        <w:t xml:space="preserve"> privlačenja izravnih domaćih i stranih ulaganja</w:t>
      </w:r>
      <w:r w:rsidR="00FB73C5">
        <w:rPr>
          <w:rFonts w:cstheme="minorHAnsi"/>
          <w:sz w:val="24"/>
        </w:rPr>
        <w:t xml:space="preserve"> za koje je izdvojeno 8.514,00 EUR.</w:t>
      </w:r>
    </w:p>
    <w:p w14:paraId="313E8049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7065C500" w14:textId="3E03DC28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6, posebni cilj 1. 2. Suvremeno i otporno biogospodarstvo</w:t>
      </w:r>
    </w:p>
    <w:p w14:paraId="6B5DB168" w14:textId="345D3042" w:rsidR="006B2E32" w:rsidRPr="007B1199" w:rsidRDefault="00175C8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U sklopu </w:t>
      </w:r>
      <w:r w:rsidRPr="007B1199">
        <w:rPr>
          <w:rFonts w:cstheme="minorHAnsi"/>
          <w:i/>
          <w:iCs/>
          <w:sz w:val="24"/>
        </w:rPr>
        <w:t xml:space="preserve">mjere </w:t>
      </w:r>
      <w:r w:rsidR="006B2E32" w:rsidRPr="007B1199">
        <w:rPr>
          <w:rFonts w:cstheme="minorHAnsi"/>
          <w:i/>
          <w:iCs/>
          <w:sz w:val="24"/>
        </w:rPr>
        <w:t>1.2.1. Jačanje konkurentnosti i dodane vrijednosti poljopr.-prehr. sektora ulaganjem u znanje i inovacije</w:t>
      </w:r>
      <w:r w:rsidRPr="007B1199">
        <w:rPr>
          <w:rFonts w:cstheme="minorHAnsi"/>
          <w:sz w:val="24"/>
        </w:rPr>
        <w:t xml:space="preserve"> </w:t>
      </w:r>
      <w:r w:rsidR="006B2E32" w:rsidRPr="007B1199">
        <w:rPr>
          <w:rFonts w:cstheme="minorHAnsi"/>
          <w:sz w:val="24"/>
        </w:rPr>
        <w:t>dodijeljen</w:t>
      </w:r>
      <w:r w:rsidR="00935A28">
        <w:rPr>
          <w:rFonts w:cstheme="minorHAnsi"/>
          <w:sz w:val="24"/>
        </w:rPr>
        <w:t>o je 256</w:t>
      </w:r>
      <w:r w:rsidR="00EC452B">
        <w:rPr>
          <w:rFonts w:cstheme="minorHAnsi"/>
          <w:sz w:val="24"/>
        </w:rPr>
        <w:t xml:space="preserve"> </w:t>
      </w:r>
      <w:r w:rsidR="006B2E32" w:rsidRPr="007B1199">
        <w:rPr>
          <w:rFonts w:cstheme="minorHAnsi"/>
          <w:sz w:val="24"/>
        </w:rPr>
        <w:t>potpor</w:t>
      </w:r>
      <w:r w:rsidR="00935A28">
        <w:rPr>
          <w:rFonts w:cstheme="minorHAnsi"/>
          <w:sz w:val="24"/>
        </w:rPr>
        <w:t>a</w:t>
      </w:r>
      <w:r w:rsidR="006B2E32" w:rsidRPr="007B1199">
        <w:rPr>
          <w:rFonts w:cstheme="minorHAnsi"/>
          <w:sz w:val="24"/>
        </w:rPr>
        <w:t xml:space="preserve"> mal</w:t>
      </w:r>
      <w:r w:rsidR="00EC452B">
        <w:rPr>
          <w:rFonts w:cstheme="minorHAnsi"/>
          <w:sz w:val="24"/>
        </w:rPr>
        <w:t>ih</w:t>
      </w:r>
      <w:r w:rsidR="006B2E32" w:rsidRPr="007B1199">
        <w:rPr>
          <w:rFonts w:cstheme="minorHAnsi"/>
          <w:sz w:val="24"/>
        </w:rPr>
        <w:t xml:space="preserve"> vrijednosti za poljoprivrednike u iznosu od </w:t>
      </w:r>
      <w:r w:rsidR="00EC452B">
        <w:rPr>
          <w:rFonts w:cstheme="minorHAnsi"/>
          <w:sz w:val="24"/>
        </w:rPr>
        <w:t>560.381,12</w:t>
      </w:r>
      <w:r w:rsidR="006E7476" w:rsidRPr="007B1199">
        <w:rPr>
          <w:rFonts w:cstheme="minorHAnsi"/>
          <w:sz w:val="24"/>
        </w:rPr>
        <w:t>EUR</w:t>
      </w:r>
      <w:r w:rsidR="006B2E32" w:rsidRPr="007B1199">
        <w:rPr>
          <w:rFonts w:cstheme="minorHAnsi"/>
          <w:sz w:val="24"/>
        </w:rPr>
        <w:t>.</w:t>
      </w:r>
    </w:p>
    <w:p w14:paraId="49225F09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98FB253" w14:textId="5AEDE383" w:rsidR="00175C8D" w:rsidRPr="007B1199" w:rsidRDefault="00175C8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7, posebni cilj 1. 2. Suvremeno i otporno biogospodarstvo</w:t>
      </w:r>
    </w:p>
    <w:p w14:paraId="1092F5EE" w14:textId="74840974" w:rsidR="006D2753" w:rsidRPr="007B1199" w:rsidRDefault="00175C8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projekta </w:t>
      </w:r>
      <w:r w:rsidR="006D2753" w:rsidRPr="007B1199">
        <w:rPr>
          <w:rFonts w:cstheme="minorHAnsi"/>
          <w:sz w:val="24"/>
        </w:rPr>
        <w:t xml:space="preserve">integracije sustava za navodnjavanje u sklopu </w:t>
      </w:r>
      <w:r w:rsidR="006D2753" w:rsidRPr="007B1199">
        <w:rPr>
          <w:rFonts w:cstheme="minorHAnsi"/>
          <w:i/>
          <w:iCs/>
          <w:sz w:val="24"/>
        </w:rPr>
        <w:t xml:space="preserve">mjere </w:t>
      </w:r>
      <w:r w:rsidR="006B2E32" w:rsidRPr="007B1199">
        <w:rPr>
          <w:rFonts w:cstheme="minorHAnsi"/>
          <w:i/>
          <w:iCs/>
          <w:sz w:val="24"/>
        </w:rPr>
        <w:t>1.2.2. Dobro upravljanje tlom, vodama i bioraznolikošću</w:t>
      </w:r>
      <w:r w:rsidR="006D2753" w:rsidRPr="007B1199">
        <w:rPr>
          <w:rFonts w:cstheme="minorHAnsi"/>
          <w:i/>
          <w:iCs/>
          <w:sz w:val="24"/>
        </w:rPr>
        <w:t xml:space="preserve"> </w:t>
      </w:r>
      <w:r w:rsidR="006D2753" w:rsidRPr="007B1199">
        <w:rPr>
          <w:rFonts w:cstheme="minorHAnsi"/>
          <w:sz w:val="24"/>
        </w:rPr>
        <w:t xml:space="preserve">utrošeno je </w:t>
      </w:r>
      <w:r w:rsidR="00933421">
        <w:rPr>
          <w:rFonts w:cstheme="minorHAnsi"/>
          <w:sz w:val="24"/>
        </w:rPr>
        <w:t>24.613,51</w:t>
      </w:r>
      <w:r w:rsidR="006E7476" w:rsidRPr="007B1199">
        <w:rPr>
          <w:rFonts w:cstheme="minorHAnsi"/>
          <w:sz w:val="24"/>
        </w:rPr>
        <w:t xml:space="preserve"> EUR</w:t>
      </w:r>
      <w:r w:rsidR="006D2753" w:rsidRPr="007B1199">
        <w:rPr>
          <w:rFonts w:cstheme="minorHAnsi"/>
          <w:sz w:val="24"/>
        </w:rPr>
        <w:t>.</w:t>
      </w:r>
    </w:p>
    <w:p w14:paraId="359DDC5B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</w:p>
    <w:p w14:paraId="77B424C5" w14:textId="44B53D1A" w:rsidR="006D2753" w:rsidRPr="007B1199" w:rsidRDefault="006D2753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8, posebni cilj 1. 3. Održiv, inovativan i otporan turizam</w:t>
      </w:r>
    </w:p>
    <w:p w14:paraId="1FC02E84" w14:textId="1BF82211" w:rsidR="00175C8D" w:rsidRPr="007B1199" w:rsidRDefault="006D2753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U sklopu </w:t>
      </w:r>
      <w:r w:rsidRPr="007B1199">
        <w:rPr>
          <w:rFonts w:cstheme="minorHAnsi"/>
          <w:i/>
          <w:iCs/>
          <w:sz w:val="24"/>
        </w:rPr>
        <w:t>mjere</w:t>
      </w:r>
      <w:r w:rsidR="00175C8D" w:rsidRPr="007B1199">
        <w:rPr>
          <w:rFonts w:cstheme="minorHAnsi"/>
          <w:i/>
          <w:iCs/>
          <w:sz w:val="24"/>
        </w:rPr>
        <w:t xml:space="preserve"> 1.3.1. Unapređenje postojećih i razvoj novih turist</w:t>
      </w:r>
      <w:r w:rsidR="00FD4385" w:rsidRPr="007B1199">
        <w:rPr>
          <w:rFonts w:cstheme="minorHAnsi"/>
          <w:i/>
          <w:iCs/>
          <w:sz w:val="24"/>
        </w:rPr>
        <w:t>ičkih</w:t>
      </w:r>
      <w:r w:rsidRPr="007B1199">
        <w:rPr>
          <w:rFonts w:cstheme="minorHAnsi"/>
          <w:i/>
          <w:iCs/>
          <w:sz w:val="24"/>
        </w:rPr>
        <w:t xml:space="preserve"> </w:t>
      </w:r>
      <w:r w:rsidR="00175C8D" w:rsidRPr="007B1199">
        <w:rPr>
          <w:rFonts w:cstheme="minorHAnsi"/>
          <w:i/>
          <w:iCs/>
          <w:sz w:val="24"/>
        </w:rPr>
        <w:t>proizv</w:t>
      </w:r>
      <w:r w:rsidR="00FD4385" w:rsidRPr="007B1199">
        <w:rPr>
          <w:rFonts w:cstheme="minorHAnsi"/>
          <w:i/>
          <w:iCs/>
          <w:sz w:val="24"/>
        </w:rPr>
        <w:t>oda</w:t>
      </w:r>
      <w:r w:rsidRPr="007B1199">
        <w:rPr>
          <w:rFonts w:cstheme="minorHAnsi"/>
          <w:i/>
          <w:iCs/>
          <w:sz w:val="24"/>
        </w:rPr>
        <w:t xml:space="preserve"> </w:t>
      </w:r>
      <w:r w:rsidR="00175C8D" w:rsidRPr="007B1199">
        <w:rPr>
          <w:rFonts w:cstheme="minorHAnsi"/>
          <w:i/>
          <w:iCs/>
          <w:sz w:val="24"/>
        </w:rPr>
        <w:t>i usl</w:t>
      </w:r>
      <w:r w:rsidR="00FD4385" w:rsidRPr="007B1199">
        <w:rPr>
          <w:rFonts w:cstheme="minorHAnsi"/>
          <w:i/>
          <w:iCs/>
          <w:sz w:val="24"/>
        </w:rPr>
        <w:t>uga</w:t>
      </w:r>
      <w:r w:rsidRPr="007B1199">
        <w:rPr>
          <w:rFonts w:cstheme="minorHAnsi"/>
          <w:i/>
          <w:iCs/>
          <w:sz w:val="24"/>
        </w:rPr>
        <w:t xml:space="preserve"> </w:t>
      </w:r>
      <w:r w:rsidR="00175C8D" w:rsidRPr="007B1199">
        <w:rPr>
          <w:rFonts w:cstheme="minorHAnsi"/>
          <w:i/>
          <w:iCs/>
          <w:sz w:val="24"/>
        </w:rPr>
        <w:t>brinući o kulturi, zaštiti prirode i kvaliteti života stanovništva</w:t>
      </w:r>
      <w:r w:rsidRPr="007B1199">
        <w:rPr>
          <w:rFonts w:cstheme="minorHAnsi"/>
          <w:sz w:val="24"/>
        </w:rPr>
        <w:t xml:space="preserve"> </w:t>
      </w:r>
      <w:r w:rsidR="00DE5425" w:rsidRPr="007B1199">
        <w:rPr>
          <w:rFonts w:cstheme="minorHAnsi"/>
          <w:sz w:val="24"/>
        </w:rPr>
        <w:t xml:space="preserve">izdvojeno </w:t>
      </w:r>
      <w:r w:rsidR="00933421">
        <w:rPr>
          <w:rFonts w:cstheme="minorHAnsi"/>
          <w:sz w:val="24"/>
        </w:rPr>
        <w:t>757.230,34</w:t>
      </w:r>
      <w:r w:rsidR="00DE5425" w:rsidRPr="007B1199">
        <w:rPr>
          <w:rFonts w:cstheme="minorHAnsi"/>
          <w:sz w:val="24"/>
        </w:rPr>
        <w:t xml:space="preserve"> EUR i to za dodjelu</w:t>
      </w:r>
      <w:r w:rsidRPr="007B1199">
        <w:rPr>
          <w:rFonts w:cstheme="minorHAnsi"/>
          <w:sz w:val="24"/>
        </w:rPr>
        <w:t xml:space="preserve"> </w:t>
      </w:r>
      <w:r w:rsidR="000703A3">
        <w:rPr>
          <w:rFonts w:cstheme="minorHAnsi"/>
          <w:sz w:val="24"/>
        </w:rPr>
        <w:t>19</w:t>
      </w:r>
      <w:r w:rsidRPr="007B1199">
        <w:rPr>
          <w:rFonts w:cstheme="minorHAnsi"/>
          <w:sz w:val="24"/>
        </w:rPr>
        <w:t xml:space="preserve"> bespovratnih potpora u turizmu</w:t>
      </w:r>
      <w:r w:rsidR="00DE5425" w:rsidRPr="007B1199">
        <w:rPr>
          <w:rFonts w:cstheme="minorHAnsi"/>
          <w:sz w:val="24"/>
        </w:rPr>
        <w:t>.</w:t>
      </w:r>
    </w:p>
    <w:p w14:paraId="2AA27095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6FC55123" w14:textId="38838FDB" w:rsidR="00C43A5D" w:rsidRPr="007B1199" w:rsidRDefault="00C43A5D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9, posebni cilj 1. 3. Održiv, inovativan i otporan turizam</w:t>
      </w:r>
    </w:p>
    <w:p w14:paraId="69013E71" w14:textId="415C9A84" w:rsidR="00C43A5D" w:rsidRPr="007B1199" w:rsidRDefault="00C43A5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U sklopu </w:t>
      </w:r>
      <w:r w:rsidRPr="007B1199">
        <w:rPr>
          <w:rFonts w:cstheme="minorHAnsi"/>
          <w:i/>
          <w:iCs/>
          <w:sz w:val="24"/>
        </w:rPr>
        <w:t xml:space="preserve">mjere 1.3.2. </w:t>
      </w:r>
      <w:r w:rsidR="0064504B" w:rsidRPr="007B1199">
        <w:rPr>
          <w:rFonts w:cstheme="minorHAnsi"/>
          <w:i/>
          <w:iCs/>
          <w:sz w:val="24"/>
        </w:rPr>
        <w:t xml:space="preserve">Jačanje kapaciteta, konkurentnosti, suradnje i kvalitete pružatelja usluga u turizmu </w:t>
      </w:r>
      <w:r w:rsidR="00381483" w:rsidRPr="007B1199">
        <w:rPr>
          <w:rFonts w:cstheme="minorHAnsi"/>
          <w:sz w:val="24"/>
        </w:rPr>
        <w:t xml:space="preserve">broj smještajnih objekata u primjeni standarda kvalitete </w:t>
      </w:r>
      <w:r w:rsidR="00381483" w:rsidRPr="007B1199">
        <w:rPr>
          <w:rFonts w:cstheme="minorHAnsi"/>
          <w:i/>
          <w:iCs/>
          <w:sz w:val="24"/>
        </w:rPr>
        <w:t>Cy</w:t>
      </w:r>
      <w:r w:rsidR="00E035D4" w:rsidRPr="007B1199">
        <w:rPr>
          <w:rFonts w:cstheme="minorHAnsi"/>
          <w:i/>
          <w:iCs/>
          <w:sz w:val="24"/>
        </w:rPr>
        <w:t>clist Welcome Quality</w:t>
      </w:r>
      <w:r w:rsidR="00E035D4" w:rsidRPr="007B1199">
        <w:rPr>
          <w:rFonts w:cstheme="minorHAnsi"/>
          <w:sz w:val="24"/>
        </w:rPr>
        <w:t xml:space="preserve"> iznosio je 22, a broj ruta u primjeni iste kvalitete iznosio je 2</w:t>
      </w:r>
      <w:r w:rsidR="00DF2A7B">
        <w:rPr>
          <w:rFonts w:cstheme="minorHAnsi"/>
          <w:sz w:val="24"/>
        </w:rPr>
        <w:t>1</w:t>
      </w:r>
      <w:r w:rsidR="00E035D4" w:rsidRPr="007B1199">
        <w:rPr>
          <w:rFonts w:cstheme="minorHAnsi"/>
          <w:sz w:val="24"/>
        </w:rPr>
        <w:t>.</w:t>
      </w:r>
    </w:p>
    <w:p w14:paraId="22B9891C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465AEAA" w14:textId="228ABADA" w:rsidR="006D2753" w:rsidRPr="007B1199" w:rsidRDefault="006D2753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10, posebni cilj 1. 4. Kvalitetno i suvremeno obrazovanje</w:t>
      </w:r>
    </w:p>
    <w:p w14:paraId="6FD5CE1C" w14:textId="54B9F904" w:rsidR="006D2753" w:rsidRPr="007B1199" w:rsidRDefault="00DE5425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6D2753" w:rsidRPr="007B1199">
        <w:rPr>
          <w:rFonts w:cstheme="minorHAnsi"/>
          <w:sz w:val="24"/>
        </w:rPr>
        <w:t xml:space="preserve"> ostvarenje </w:t>
      </w:r>
      <w:r w:rsidR="006D2753" w:rsidRPr="007B1199">
        <w:rPr>
          <w:rFonts w:cstheme="minorHAnsi"/>
          <w:i/>
          <w:iCs/>
          <w:sz w:val="24"/>
        </w:rPr>
        <w:t>mjere 1.4.2. Osiguranje odgovarajućih ljudskih i materijalnih kapaciteta za predškolske i školske ustanove</w:t>
      </w:r>
      <w:r w:rsidR="006D2753" w:rsidRPr="007B1199">
        <w:rPr>
          <w:rFonts w:cstheme="minorHAnsi"/>
          <w:sz w:val="24"/>
        </w:rPr>
        <w:t xml:space="preserve"> </w:t>
      </w:r>
      <w:r w:rsidR="00A439D9" w:rsidRPr="007B1199">
        <w:rPr>
          <w:rFonts w:cstheme="minorHAnsi"/>
          <w:sz w:val="24"/>
        </w:rPr>
        <w:t>izdvojeno</w:t>
      </w:r>
      <w:r w:rsidR="006D2753" w:rsidRPr="007B1199">
        <w:rPr>
          <w:rFonts w:cstheme="minorHAnsi"/>
          <w:sz w:val="24"/>
        </w:rPr>
        <w:t xml:space="preserve"> je </w:t>
      </w:r>
      <w:r w:rsidR="00DF2A7B">
        <w:rPr>
          <w:rFonts w:cstheme="minorHAnsi"/>
          <w:sz w:val="24"/>
        </w:rPr>
        <w:t>9.825.361,31</w:t>
      </w:r>
      <w:r w:rsidR="00C52550" w:rsidRPr="007B1199">
        <w:rPr>
          <w:rFonts w:cstheme="minorHAnsi"/>
          <w:sz w:val="24"/>
        </w:rPr>
        <w:t xml:space="preserve"> EUR</w:t>
      </w:r>
      <w:r w:rsidR="00D94864" w:rsidRPr="007B1199">
        <w:rPr>
          <w:rFonts w:cstheme="minorHAnsi"/>
          <w:sz w:val="24"/>
        </w:rPr>
        <w:t xml:space="preserve"> za osiguravanje jednosmjenske nastave u 13 osnovnih škola</w:t>
      </w:r>
      <w:r w:rsidR="00DF2A7B">
        <w:rPr>
          <w:rFonts w:cstheme="minorHAnsi"/>
          <w:sz w:val="24"/>
        </w:rPr>
        <w:t xml:space="preserve"> i dogradnju 1330 m2 </w:t>
      </w:r>
      <w:r w:rsidR="00AF1DE6">
        <w:rPr>
          <w:rFonts w:cstheme="minorHAnsi"/>
          <w:sz w:val="24"/>
        </w:rPr>
        <w:t>školske sportske dvorane u naselju Sveta Marija.</w:t>
      </w:r>
    </w:p>
    <w:p w14:paraId="68184877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22230127" w14:textId="1601D083" w:rsidR="006D2753" w:rsidRPr="007B1199" w:rsidRDefault="006D2753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11, posebni cilj 1. 4. Kvalitetno i suvremeno obrazovanje</w:t>
      </w:r>
    </w:p>
    <w:p w14:paraId="40CD9C99" w14:textId="0EA5F3D4" w:rsidR="006D2753" w:rsidRPr="007B1199" w:rsidRDefault="006D2753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</w:t>
      </w:r>
      <w:r w:rsidRPr="007B1199">
        <w:rPr>
          <w:rFonts w:cstheme="minorHAnsi"/>
          <w:i/>
          <w:iCs/>
          <w:sz w:val="24"/>
        </w:rPr>
        <w:t>mjere 1.4.3. Povećanje fleksibilnosti obrazovanja</w:t>
      </w:r>
      <w:r w:rsidRPr="007B1199">
        <w:rPr>
          <w:rFonts w:cstheme="minorHAnsi"/>
          <w:sz w:val="24"/>
        </w:rPr>
        <w:t xml:space="preserve"> </w:t>
      </w:r>
      <w:r w:rsidR="00A439D9" w:rsidRPr="007B1199">
        <w:rPr>
          <w:rFonts w:cstheme="minorHAnsi"/>
          <w:sz w:val="24"/>
        </w:rPr>
        <w:t>izdvojeno</w:t>
      </w:r>
      <w:r w:rsidRPr="007B1199">
        <w:rPr>
          <w:rFonts w:cstheme="minorHAnsi"/>
          <w:sz w:val="24"/>
        </w:rPr>
        <w:t xml:space="preserve"> je </w:t>
      </w:r>
      <w:r w:rsidR="00AF1DE6">
        <w:rPr>
          <w:rFonts w:cstheme="minorHAnsi"/>
          <w:sz w:val="24"/>
        </w:rPr>
        <w:t>207.770,33</w:t>
      </w:r>
      <w:r w:rsidR="00C52550" w:rsidRPr="007B1199">
        <w:rPr>
          <w:rFonts w:cstheme="minorHAnsi"/>
          <w:sz w:val="24"/>
        </w:rPr>
        <w:t xml:space="preserve"> EUR</w:t>
      </w:r>
      <w:r w:rsidR="00AB0487" w:rsidRPr="007B1199">
        <w:rPr>
          <w:rFonts w:cstheme="minorHAnsi"/>
          <w:sz w:val="24"/>
        </w:rPr>
        <w:t xml:space="preserve"> </w:t>
      </w:r>
      <w:r w:rsidR="008C73B2" w:rsidRPr="007B1199">
        <w:rPr>
          <w:rFonts w:cstheme="minorHAnsi"/>
          <w:sz w:val="24"/>
        </w:rPr>
        <w:t>u svrhu održavanja 40 natjecanja županijske razine na kojima je sudjelovalo</w:t>
      </w:r>
      <w:r w:rsidR="00D94864" w:rsidRPr="007B1199">
        <w:rPr>
          <w:rFonts w:cstheme="minorHAnsi"/>
          <w:sz w:val="24"/>
        </w:rPr>
        <w:t xml:space="preserve"> </w:t>
      </w:r>
      <w:r w:rsidR="008C73B2" w:rsidRPr="007B1199">
        <w:rPr>
          <w:rFonts w:cstheme="minorHAnsi"/>
          <w:sz w:val="24"/>
        </w:rPr>
        <w:t>1609 učenika.</w:t>
      </w:r>
    </w:p>
    <w:p w14:paraId="65DD22E3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53F6D9B" w14:textId="5549350C" w:rsidR="006D2753" w:rsidRPr="007B1199" w:rsidRDefault="006D2753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12, posebni cilj 1. 4. Kvalitetno i suvremeno obrazovanje</w:t>
      </w:r>
    </w:p>
    <w:p w14:paraId="723F8D07" w14:textId="249F80C4" w:rsidR="006D2753" w:rsidRPr="007B1199" w:rsidRDefault="000B3E6C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lastRenderedPageBreak/>
        <w:t>Dodijeljena</w:t>
      </w:r>
      <w:r w:rsidR="006D2753" w:rsidRPr="007B1199">
        <w:rPr>
          <w:rFonts w:cstheme="minorHAnsi"/>
          <w:sz w:val="24"/>
        </w:rPr>
        <w:t xml:space="preserve"> su sredstva u iznosu </w:t>
      </w:r>
      <w:r w:rsidR="00B82B47">
        <w:rPr>
          <w:rFonts w:cstheme="minorHAnsi"/>
          <w:sz w:val="24"/>
        </w:rPr>
        <w:t>3.048,85</w:t>
      </w:r>
      <w:r w:rsidR="00F96E0B" w:rsidRPr="007B1199">
        <w:rPr>
          <w:rFonts w:cstheme="minorHAnsi"/>
          <w:sz w:val="24"/>
        </w:rPr>
        <w:t xml:space="preserve"> EUR</w:t>
      </w:r>
      <w:r w:rsidR="006D2753" w:rsidRPr="007B1199">
        <w:rPr>
          <w:rFonts w:cstheme="minorHAnsi"/>
          <w:sz w:val="24"/>
        </w:rPr>
        <w:t xml:space="preserve"> za provedbu </w:t>
      </w:r>
      <w:r w:rsidR="006D2753" w:rsidRPr="007B1199">
        <w:rPr>
          <w:rFonts w:cstheme="minorHAnsi"/>
          <w:i/>
          <w:iCs/>
          <w:sz w:val="24"/>
        </w:rPr>
        <w:t>mjere 1.4.4. Promicanje vrijednosti znanja (obrazovanja i usavršavanja) u zanimanjima koja nedostaju</w:t>
      </w:r>
      <w:r w:rsidR="00A0526D" w:rsidRPr="007B1199">
        <w:rPr>
          <w:rFonts w:cstheme="minorHAnsi"/>
          <w:sz w:val="24"/>
        </w:rPr>
        <w:t xml:space="preserve"> </w:t>
      </w:r>
      <w:r w:rsidR="00AB0487" w:rsidRPr="007B1199">
        <w:rPr>
          <w:rFonts w:cstheme="minorHAnsi"/>
          <w:sz w:val="24"/>
        </w:rPr>
        <w:t>što se odnosi na</w:t>
      </w:r>
      <w:r w:rsidR="00A0526D" w:rsidRPr="007B1199">
        <w:rPr>
          <w:rFonts w:cstheme="minorHAnsi"/>
          <w:sz w:val="24"/>
        </w:rPr>
        <w:t xml:space="preserve"> </w:t>
      </w:r>
      <w:r w:rsidR="00B82B47">
        <w:rPr>
          <w:rFonts w:cstheme="minorHAnsi"/>
          <w:sz w:val="24"/>
        </w:rPr>
        <w:t>1874</w:t>
      </w:r>
      <w:r w:rsidR="00A0526D" w:rsidRPr="007B1199">
        <w:rPr>
          <w:rFonts w:cstheme="minorHAnsi"/>
          <w:sz w:val="24"/>
        </w:rPr>
        <w:t xml:space="preserve"> jednokratnih potpora redovitim studentima. </w:t>
      </w:r>
    </w:p>
    <w:p w14:paraId="0D761B5C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7E74DCB7" w14:textId="2C644AD3" w:rsidR="00F93C41" w:rsidRPr="007B1199" w:rsidRDefault="00F93C4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13, posebni cilj 1. 4. Kvalitetno i suvremeno obrazovanje</w:t>
      </w:r>
    </w:p>
    <w:p w14:paraId="35B6DFEC" w14:textId="675BDC86" w:rsidR="006B2E32" w:rsidRPr="007B1199" w:rsidRDefault="00E7564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U sklopu</w:t>
      </w:r>
      <w:r w:rsidR="00F93C41" w:rsidRPr="007B1199">
        <w:rPr>
          <w:rFonts w:cstheme="minorHAnsi"/>
          <w:sz w:val="24"/>
        </w:rPr>
        <w:t xml:space="preserve"> </w:t>
      </w:r>
      <w:r w:rsidR="00F93C41" w:rsidRPr="007B1199">
        <w:rPr>
          <w:rFonts w:cstheme="minorHAnsi"/>
          <w:i/>
          <w:iCs/>
          <w:sz w:val="24"/>
        </w:rPr>
        <w:t>mjere 1.4.5. Popularizacija znanosti, tehnologije, medijske pismenosti (usmjereno općoj populaciji)</w:t>
      </w:r>
      <w:r w:rsidR="00F93C41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>provedeno je 1</w:t>
      </w:r>
      <w:r w:rsidR="00B82B47">
        <w:rPr>
          <w:rFonts w:cstheme="minorHAnsi"/>
          <w:sz w:val="24"/>
        </w:rPr>
        <w:t>0</w:t>
      </w:r>
      <w:r w:rsidRPr="007B1199">
        <w:rPr>
          <w:rFonts w:cstheme="minorHAnsi"/>
          <w:sz w:val="24"/>
        </w:rPr>
        <w:t xml:space="preserve"> događanja za promociju EU</w:t>
      </w:r>
      <w:r w:rsidR="00B82B47">
        <w:rPr>
          <w:rFonts w:cstheme="minorHAnsi"/>
          <w:sz w:val="24"/>
        </w:rPr>
        <w:t xml:space="preserve"> za koje je izdvojen iznos od 65.238,52 EUR.</w:t>
      </w:r>
    </w:p>
    <w:p w14:paraId="4DEE650D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6D99DE1D" w14:textId="4CEB02CC" w:rsidR="00F93C41" w:rsidRPr="007B1199" w:rsidRDefault="00F93C4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14, posebni cilj 2.5. Učinkovita i dostupna zdravstvena i socijalna skrb</w:t>
      </w:r>
    </w:p>
    <w:p w14:paraId="4D95BB6F" w14:textId="478906F9" w:rsidR="00F93C41" w:rsidRPr="007B1199" w:rsidRDefault="00F93C4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</w:t>
      </w:r>
      <w:r w:rsidRPr="007B1199">
        <w:rPr>
          <w:rFonts w:cstheme="minorHAnsi"/>
          <w:i/>
          <w:iCs/>
          <w:sz w:val="24"/>
        </w:rPr>
        <w:t>mjere 2.5.1 Promicanje zdravih stilova života od najranije dobi</w:t>
      </w:r>
      <w:r w:rsidRPr="007B1199">
        <w:rPr>
          <w:rFonts w:cstheme="minorHAnsi"/>
          <w:sz w:val="24"/>
        </w:rPr>
        <w:t xml:space="preserve"> utrošeno je </w:t>
      </w:r>
      <w:r w:rsidR="00633BBC">
        <w:rPr>
          <w:rFonts w:cstheme="minorHAnsi"/>
          <w:sz w:val="24"/>
        </w:rPr>
        <w:t>34.562,33</w:t>
      </w:r>
      <w:r w:rsidR="00FC4E90" w:rsidRPr="007B1199">
        <w:rPr>
          <w:rFonts w:cstheme="minorHAnsi"/>
          <w:sz w:val="24"/>
        </w:rPr>
        <w:t xml:space="preserve"> EUR</w:t>
      </w:r>
      <w:r w:rsidR="00291AF4" w:rsidRPr="007B1199">
        <w:rPr>
          <w:rFonts w:cstheme="minorHAnsi"/>
          <w:sz w:val="24"/>
        </w:rPr>
        <w:t>, održano je 17 promotivnih događanja za prevenciju bolesti te je sufinanciran</w:t>
      </w:r>
      <w:r w:rsidR="00633BBC">
        <w:rPr>
          <w:rFonts w:cstheme="minorHAnsi"/>
          <w:sz w:val="24"/>
        </w:rPr>
        <w:t>o</w:t>
      </w:r>
      <w:r w:rsidR="00291AF4" w:rsidRPr="007B1199">
        <w:rPr>
          <w:rFonts w:cstheme="minorHAnsi"/>
          <w:sz w:val="24"/>
        </w:rPr>
        <w:t xml:space="preserve"> </w:t>
      </w:r>
      <w:r w:rsidR="00633BBC">
        <w:rPr>
          <w:rFonts w:cstheme="minorHAnsi"/>
          <w:sz w:val="24"/>
        </w:rPr>
        <w:t>186</w:t>
      </w:r>
      <w:r w:rsidR="00291AF4" w:rsidRPr="007B1199">
        <w:rPr>
          <w:rFonts w:cstheme="minorHAnsi"/>
          <w:sz w:val="24"/>
        </w:rPr>
        <w:t xml:space="preserve"> zahtjev</w:t>
      </w:r>
      <w:r w:rsidR="00633BBC">
        <w:rPr>
          <w:rFonts w:cstheme="minorHAnsi"/>
          <w:sz w:val="24"/>
        </w:rPr>
        <w:t>a</w:t>
      </w:r>
      <w:r w:rsidR="00291AF4" w:rsidRPr="007B1199">
        <w:rPr>
          <w:rFonts w:cstheme="minorHAnsi"/>
          <w:sz w:val="24"/>
        </w:rPr>
        <w:t xml:space="preserve"> za pratnju djece na liječenje.</w:t>
      </w:r>
    </w:p>
    <w:p w14:paraId="2C359E3F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D9F5495" w14:textId="6EC8AF89" w:rsidR="00F93C41" w:rsidRPr="007B1199" w:rsidRDefault="00F93C4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15, posebni cilj 2.5. Učinkovita i dostupna zdravstvena i socijalna skrb</w:t>
      </w:r>
    </w:p>
    <w:p w14:paraId="2DA0399C" w14:textId="55ADC8E7" w:rsidR="00F93C41" w:rsidRPr="007B1199" w:rsidRDefault="00F93C4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</w:t>
      </w:r>
      <w:r w:rsidRPr="007B1199">
        <w:rPr>
          <w:rFonts w:cstheme="minorHAnsi"/>
          <w:i/>
          <w:iCs/>
          <w:sz w:val="24"/>
        </w:rPr>
        <w:t>mjere 2.5.2. Modernizacija zdravstvene infrastrukture i unapređenje kvalitete zdravstvene zaštite i skrbi</w:t>
      </w:r>
      <w:r w:rsidRPr="007B1199">
        <w:rPr>
          <w:rFonts w:cstheme="minorHAnsi"/>
          <w:sz w:val="24"/>
        </w:rPr>
        <w:t xml:space="preserve"> utrošeno je </w:t>
      </w:r>
      <w:r w:rsidR="00633BBC">
        <w:rPr>
          <w:rFonts w:cstheme="minorHAnsi"/>
          <w:sz w:val="24"/>
        </w:rPr>
        <w:t>1.544.430,35</w:t>
      </w:r>
      <w:r w:rsidR="00FC4E90" w:rsidRPr="007B1199">
        <w:rPr>
          <w:rFonts w:cstheme="minorHAnsi"/>
          <w:sz w:val="24"/>
        </w:rPr>
        <w:t xml:space="preserve"> EUR</w:t>
      </w:r>
      <w:r w:rsidRPr="007B1199">
        <w:rPr>
          <w:rFonts w:cstheme="minorHAnsi"/>
          <w:sz w:val="24"/>
        </w:rPr>
        <w:t xml:space="preserve"> i to za sufinanciranje </w:t>
      </w:r>
      <w:r w:rsidR="008A20B1" w:rsidRPr="007B1199">
        <w:rPr>
          <w:rFonts w:cstheme="minorHAnsi"/>
          <w:sz w:val="24"/>
        </w:rPr>
        <w:t>3</w:t>
      </w:r>
      <w:r w:rsidR="00633BBC">
        <w:rPr>
          <w:rFonts w:cstheme="minorHAnsi"/>
          <w:sz w:val="24"/>
        </w:rPr>
        <w:t>3</w:t>
      </w:r>
      <w:r w:rsidRPr="007B1199">
        <w:rPr>
          <w:rFonts w:cstheme="minorHAnsi"/>
          <w:sz w:val="24"/>
        </w:rPr>
        <w:t xml:space="preserve"> tim</w:t>
      </w:r>
      <w:r w:rsidR="00633BBC">
        <w:rPr>
          <w:rFonts w:cstheme="minorHAnsi"/>
          <w:sz w:val="24"/>
        </w:rPr>
        <w:t>a</w:t>
      </w:r>
      <w:r w:rsidRPr="007B1199">
        <w:rPr>
          <w:rFonts w:cstheme="minorHAnsi"/>
          <w:sz w:val="24"/>
        </w:rPr>
        <w:t xml:space="preserve"> hitne službe</w:t>
      </w:r>
      <w:r w:rsidR="008A20B1" w:rsidRPr="007B1199">
        <w:rPr>
          <w:rFonts w:cstheme="minorHAnsi"/>
          <w:sz w:val="24"/>
        </w:rPr>
        <w:t>,</w:t>
      </w:r>
      <w:r w:rsidRPr="007B1199">
        <w:rPr>
          <w:rFonts w:cstheme="minorHAnsi"/>
          <w:sz w:val="24"/>
        </w:rPr>
        <w:t xml:space="preserve"> </w:t>
      </w:r>
      <w:r w:rsidR="00633BBC">
        <w:rPr>
          <w:rFonts w:cstheme="minorHAnsi"/>
          <w:sz w:val="24"/>
        </w:rPr>
        <w:t>11.039</w:t>
      </w:r>
      <w:r w:rsidRPr="007B1199">
        <w:rPr>
          <w:rFonts w:cstheme="minorHAnsi"/>
          <w:sz w:val="24"/>
        </w:rPr>
        <w:t xml:space="preserve"> intervencija hitne službe</w:t>
      </w:r>
      <w:r w:rsidR="008A20B1" w:rsidRPr="007B1199">
        <w:rPr>
          <w:rFonts w:cstheme="minorHAnsi"/>
          <w:sz w:val="24"/>
        </w:rPr>
        <w:t xml:space="preserve"> i </w:t>
      </w:r>
      <w:r w:rsidR="0021789C">
        <w:rPr>
          <w:rFonts w:cstheme="minorHAnsi"/>
          <w:sz w:val="24"/>
        </w:rPr>
        <w:t>1</w:t>
      </w:r>
      <w:r w:rsidR="008A20B1" w:rsidRPr="007B1199">
        <w:rPr>
          <w:rFonts w:cstheme="minorHAnsi"/>
          <w:sz w:val="24"/>
        </w:rPr>
        <w:t xml:space="preserve"> tima palijativne skrbi.</w:t>
      </w:r>
    </w:p>
    <w:p w14:paraId="6D0E377C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19CD4F80" w14:textId="6F184781" w:rsidR="00F93C41" w:rsidRPr="007B1199" w:rsidRDefault="00F93C4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16, posebni cilj 2.5. Učinkovita i dostupna zdravstvena i socijalna skrb</w:t>
      </w:r>
    </w:p>
    <w:p w14:paraId="04FE8497" w14:textId="5DC0E82A" w:rsidR="00F93C41" w:rsidRPr="007B1199" w:rsidRDefault="000422C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F93C41" w:rsidRPr="007B1199">
        <w:rPr>
          <w:rFonts w:cstheme="minorHAnsi"/>
          <w:sz w:val="24"/>
        </w:rPr>
        <w:t xml:space="preserve"> provedbu </w:t>
      </w:r>
      <w:r w:rsidR="00F93C41" w:rsidRPr="007B1199">
        <w:rPr>
          <w:rFonts w:cstheme="minorHAnsi"/>
          <w:i/>
          <w:iCs/>
          <w:sz w:val="24"/>
        </w:rPr>
        <w:t>mjere 2.5.3. Unapređenje kvalitete socijalnih usluga</w:t>
      </w:r>
      <w:r w:rsidR="00F93C41" w:rsidRPr="007B1199">
        <w:rPr>
          <w:rFonts w:cstheme="minorHAnsi"/>
          <w:sz w:val="24"/>
        </w:rPr>
        <w:t xml:space="preserve"> sufinancirala se usluga korištenja Sigurne kuće za </w:t>
      </w:r>
      <w:r w:rsidR="0021789C">
        <w:rPr>
          <w:rFonts w:cstheme="minorHAnsi"/>
          <w:sz w:val="24"/>
        </w:rPr>
        <w:t>38</w:t>
      </w:r>
      <w:r w:rsidR="00F93C41" w:rsidRPr="007B1199">
        <w:rPr>
          <w:rFonts w:cstheme="minorHAnsi"/>
          <w:sz w:val="24"/>
        </w:rPr>
        <w:t xml:space="preserve"> osob</w:t>
      </w:r>
      <w:r w:rsidRPr="007B1199">
        <w:rPr>
          <w:rFonts w:cstheme="minorHAnsi"/>
          <w:sz w:val="24"/>
        </w:rPr>
        <w:t>a</w:t>
      </w:r>
      <w:r w:rsidR="00F93C41" w:rsidRPr="007B1199">
        <w:rPr>
          <w:rFonts w:cstheme="minorHAnsi"/>
          <w:sz w:val="24"/>
        </w:rPr>
        <w:t xml:space="preserve"> te usluga Dnevnog boravka za </w:t>
      </w:r>
      <w:r w:rsidR="008A20B1" w:rsidRPr="007B1199">
        <w:rPr>
          <w:rFonts w:cstheme="minorHAnsi"/>
          <w:sz w:val="24"/>
        </w:rPr>
        <w:t>15</w:t>
      </w:r>
      <w:r w:rsidR="00F93C41" w:rsidRPr="007B1199">
        <w:rPr>
          <w:rFonts w:cstheme="minorHAnsi"/>
          <w:sz w:val="24"/>
        </w:rPr>
        <w:t xml:space="preserve"> osoba. Za provedbu mjere utrošeno je </w:t>
      </w:r>
      <w:r w:rsidR="0021789C">
        <w:rPr>
          <w:rFonts w:cstheme="minorHAnsi"/>
          <w:sz w:val="24"/>
        </w:rPr>
        <w:t>1.537.822,59</w:t>
      </w:r>
      <w:r w:rsidR="00DF7EF7" w:rsidRPr="007B1199">
        <w:rPr>
          <w:rFonts w:cstheme="minorHAnsi"/>
          <w:sz w:val="24"/>
        </w:rPr>
        <w:t xml:space="preserve"> EUR</w:t>
      </w:r>
      <w:r w:rsidR="00F93C41" w:rsidRPr="007B1199">
        <w:rPr>
          <w:rFonts w:cstheme="minorHAnsi"/>
          <w:sz w:val="24"/>
        </w:rPr>
        <w:t>.</w:t>
      </w:r>
    </w:p>
    <w:p w14:paraId="4A5E1C6F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009AA092" w14:textId="56E51E28" w:rsidR="00F93C41" w:rsidRPr="007B1199" w:rsidRDefault="00F93C4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17, posebni cilj 2.6. Bogat i uključiv društveni život</w:t>
      </w:r>
    </w:p>
    <w:p w14:paraId="02023DAF" w14:textId="57774052" w:rsidR="00F93C41" w:rsidRPr="007B1199" w:rsidRDefault="00F93C4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</w:t>
      </w:r>
      <w:r w:rsidRPr="007B1199">
        <w:rPr>
          <w:rFonts w:cstheme="minorHAnsi"/>
          <w:i/>
          <w:iCs/>
          <w:sz w:val="24"/>
        </w:rPr>
        <w:t>mjere 2.6.1. Poboljšanje dostupnosti i vidljivosti sportsko-rekreativnih sadržaja</w:t>
      </w:r>
      <w:r w:rsidRPr="007B1199">
        <w:rPr>
          <w:rFonts w:cstheme="minorHAnsi"/>
          <w:sz w:val="24"/>
        </w:rPr>
        <w:t xml:space="preserve"> </w:t>
      </w:r>
      <w:r w:rsidR="000E20F2" w:rsidRPr="007B1199">
        <w:rPr>
          <w:rFonts w:cstheme="minorHAnsi"/>
          <w:sz w:val="24"/>
        </w:rPr>
        <w:t>izdvojeno</w:t>
      </w:r>
      <w:r w:rsidRPr="007B1199">
        <w:rPr>
          <w:rFonts w:cstheme="minorHAnsi"/>
          <w:sz w:val="24"/>
        </w:rPr>
        <w:t xml:space="preserve"> je </w:t>
      </w:r>
      <w:r w:rsidR="0021789C">
        <w:rPr>
          <w:rFonts w:cstheme="minorHAnsi"/>
          <w:sz w:val="24"/>
        </w:rPr>
        <w:t>769.690,40</w:t>
      </w:r>
      <w:r w:rsidR="00DF7EF7" w:rsidRPr="007B1199">
        <w:rPr>
          <w:rFonts w:cstheme="minorHAnsi"/>
          <w:sz w:val="24"/>
        </w:rPr>
        <w:t xml:space="preserve"> EUR</w:t>
      </w:r>
      <w:r w:rsidR="00F43801" w:rsidRPr="007B1199">
        <w:rPr>
          <w:rFonts w:cstheme="minorHAnsi"/>
          <w:sz w:val="24"/>
        </w:rPr>
        <w:t xml:space="preserve"> i to za </w:t>
      </w:r>
      <w:r w:rsidR="00E40E4E">
        <w:rPr>
          <w:rFonts w:cstheme="minorHAnsi"/>
          <w:sz w:val="24"/>
        </w:rPr>
        <w:t>82</w:t>
      </w:r>
      <w:r w:rsidR="00F43801" w:rsidRPr="007B1199">
        <w:rPr>
          <w:rFonts w:cstheme="minorHAnsi"/>
          <w:sz w:val="24"/>
        </w:rPr>
        <w:t xml:space="preserve"> potpor</w:t>
      </w:r>
      <w:r w:rsidR="00E40E4E">
        <w:rPr>
          <w:rFonts w:cstheme="minorHAnsi"/>
          <w:sz w:val="24"/>
        </w:rPr>
        <w:t>e</w:t>
      </w:r>
      <w:r w:rsidR="00F43801" w:rsidRPr="007B1199">
        <w:rPr>
          <w:rFonts w:cstheme="minorHAnsi"/>
          <w:sz w:val="24"/>
        </w:rPr>
        <w:t xml:space="preserve"> sportskim udrugama i </w:t>
      </w:r>
      <w:r w:rsidR="00E40E4E">
        <w:rPr>
          <w:rFonts w:cstheme="minorHAnsi"/>
          <w:sz w:val="24"/>
        </w:rPr>
        <w:t>21</w:t>
      </w:r>
      <w:r w:rsidR="00F43801" w:rsidRPr="007B1199">
        <w:rPr>
          <w:rFonts w:cstheme="minorHAnsi"/>
          <w:sz w:val="24"/>
        </w:rPr>
        <w:t xml:space="preserve"> novčan</w:t>
      </w:r>
      <w:r w:rsidR="00E40E4E">
        <w:rPr>
          <w:rFonts w:cstheme="minorHAnsi"/>
          <w:sz w:val="24"/>
        </w:rPr>
        <w:t>u</w:t>
      </w:r>
      <w:r w:rsidR="00F43801" w:rsidRPr="007B1199">
        <w:rPr>
          <w:rFonts w:cstheme="minorHAnsi"/>
          <w:sz w:val="24"/>
        </w:rPr>
        <w:t xml:space="preserve"> nagrad</w:t>
      </w:r>
      <w:r w:rsidR="00E40E4E">
        <w:rPr>
          <w:rFonts w:cstheme="minorHAnsi"/>
          <w:sz w:val="24"/>
        </w:rPr>
        <w:t>u</w:t>
      </w:r>
      <w:r w:rsidR="00F43801" w:rsidRPr="007B1199">
        <w:rPr>
          <w:rFonts w:cstheme="minorHAnsi"/>
          <w:sz w:val="24"/>
        </w:rPr>
        <w:t xml:space="preserve"> za ostvarene sportske rezultate. </w:t>
      </w:r>
    </w:p>
    <w:p w14:paraId="15799F30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7E69037" w14:textId="31B5FC85" w:rsidR="000251BB" w:rsidRPr="00CA12D9" w:rsidRDefault="000251BB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CA12D9">
        <w:rPr>
          <w:rFonts w:cstheme="minorHAnsi"/>
          <w:b/>
          <w:bCs/>
          <w:sz w:val="24"/>
        </w:rPr>
        <w:t>Mjera 18, posebni cilj 2.6. Bogat i uključiv društveni život</w:t>
      </w:r>
    </w:p>
    <w:p w14:paraId="3182282C" w14:textId="3EDA8915" w:rsidR="006B2E32" w:rsidRPr="007B1199" w:rsidRDefault="000D77D8" w:rsidP="00C409B1">
      <w:pPr>
        <w:spacing w:after="0" w:line="360" w:lineRule="auto"/>
        <w:jc w:val="both"/>
        <w:rPr>
          <w:rFonts w:cstheme="minorHAnsi"/>
          <w:sz w:val="24"/>
        </w:rPr>
      </w:pPr>
      <w:r w:rsidRPr="00CA12D9">
        <w:rPr>
          <w:rFonts w:cstheme="minorHAnsi"/>
          <w:sz w:val="24"/>
        </w:rPr>
        <w:t xml:space="preserve">Za </w:t>
      </w:r>
      <w:r w:rsidR="00787AF0" w:rsidRPr="00CA12D9">
        <w:rPr>
          <w:rFonts w:cstheme="minorHAnsi"/>
          <w:sz w:val="24"/>
        </w:rPr>
        <w:t>aktivnosti</w:t>
      </w:r>
      <w:r w:rsidR="00B13AA2" w:rsidRPr="00CA12D9">
        <w:rPr>
          <w:rFonts w:cstheme="minorHAnsi"/>
          <w:sz w:val="24"/>
        </w:rPr>
        <w:t xml:space="preserve"> </w:t>
      </w:r>
      <w:r w:rsidR="00787AF0" w:rsidRPr="00CA12D9">
        <w:rPr>
          <w:rFonts w:cstheme="minorHAnsi"/>
          <w:sz w:val="24"/>
        </w:rPr>
        <w:t xml:space="preserve">za </w:t>
      </w:r>
      <w:r w:rsidR="000251BB" w:rsidRPr="00CA12D9">
        <w:rPr>
          <w:rFonts w:cstheme="minorHAnsi"/>
          <w:sz w:val="24"/>
        </w:rPr>
        <w:t xml:space="preserve">provedbu </w:t>
      </w:r>
      <w:r w:rsidR="000251BB" w:rsidRPr="00CA12D9">
        <w:rPr>
          <w:rFonts w:cstheme="minorHAnsi"/>
          <w:i/>
          <w:iCs/>
          <w:sz w:val="24"/>
        </w:rPr>
        <w:t>mjere 2.6.2. Razvoj sportske infrastrukture</w:t>
      </w:r>
      <w:r w:rsidR="000251BB" w:rsidRPr="00CA12D9">
        <w:rPr>
          <w:rFonts w:cstheme="minorHAnsi"/>
          <w:sz w:val="24"/>
        </w:rPr>
        <w:t xml:space="preserve"> </w:t>
      </w:r>
      <w:r w:rsidR="005D48F9" w:rsidRPr="00CA12D9">
        <w:rPr>
          <w:rFonts w:cstheme="minorHAnsi"/>
          <w:sz w:val="24"/>
        </w:rPr>
        <w:t xml:space="preserve">izdvojena su sredstva u iznosu od </w:t>
      </w:r>
      <w:r w:rsidRPr="00CA12D9">
        <w:rPr>
          <w:rFonts w:cstheme="minorHAnsi"/>
          <w:sz w:val="24"/>
        </w:rPr>
        <w:t>1.600.00,00</w:t>
      </w:r>
      <w:r w:rsidR="005D48F9" w:rsidRPr="00CA12D9">
        <w:rPr>
          <w:rFonts w:cstheme="minorHAnsi"/>
          <w:sz w:val="24"/>
        </w:rPr>
        <w:t xml:space="preserve"> EUR.</w:t>
      </w:r>
      <w:r w:rsidR="005D48F9">
        <w:rPr>
          <w:rFonts w:cstheme="minorHAnsi"/>
          <w:sz w:val="24"/>
        </w:rPr>
        <w:t xml:space="preserve"> </w:t>
      </w:r>
    </w:p>
    <w:p w14:paraId="2BF4BB43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002719F8" w14:textId="058C0459" w:rsidR="000251BB" w:rsidRPr="007B1199" w:rsidRDefault="000251BB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19, posebni cilj 2.6. Bogat i uključiv društveni život</w:t>
      </w:r>
    </w:p>
    <w:p w14:paraId="23A4BADA" w14:textId="1D146702" w:rsidR="006B2E32" w:rsidRPr="007B1199" w:rsidRDefault="000422C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3C6E82" w:rsidRPr="007B1199">
        <w:rPr>
          <w:rFonts w:cstheme="minorHAnsi"/>
          <w:sz w:val="24"/>
        </w:rPr>
        <w:t xml:space="preserve"> provedbu </w:t>
      </w:r>
      <w:r w:rsidR="003C6E82" w:rsidRPr="007B1199">
        <w:rPr>
          <w:rFonts w:cstheme="minorHAnsi"/>
          <w:i/>
          <w:iCs/>
          <w:sz w:val="24"/>
        </w:rPr>
        <w:t>mjere 2.6.3. Promicanje kulturnih i kreativnih industrija s naglaskom na uključivanje mladih</w:t>
      </w:r>
      <w:r w:rsidR="003C6E82" w:rsidRPr="007B1199">
        <w:rPr>
          <w:rFonts w:cstheme="minorHAnsi"/>
          <w:sz w:val="24"/>
        </w:rPr>
        <w:t xml:space="preserve"> </w:t>
      </w:r>
      <w:r w:rsidR="000E20F2" w:rsidRPr="007B1199">
        <w:rPr>
          <w:rFonts w:cstheme="minorHAnsi"/>
          <w:sz w:val="24"/>
        </w:rPr>
        <w:t>izdvojeno</w:t>
      </w:r>
      <w:r w:rsidR="003C6E82" w:rsidRPr="007B1199">
        <w:rPr>
          <w:rFonts w:cstheme="minorHAnsi"/>
          <w:sz w:val="24"/>
        </w:rPr>
        <w:t xml:space="preserve"> je </w:t>
      </w:r>
      <w:r w:rsidR="00E14E80">
        <w:rPr>
          <w:rFonts w:cstheme="minorHAnsi"/>
          <w:sz w:val="24"/>
        </w:rPr>
        <w:t>152.239,98</w:t>
      </w:r>
      <w:r w:rsidR="0083430F" w:rsidRPr="007B1199">
        <w:rPr>
          <w:rFonts w:cstheme="minorHAnsi"/>
          <w:sz w:val="24"/>
        </w:rPr>
        <w:t xml:space="preserve"> EUR</w:t>
      </w:r>
      <w:r w:rsidR="000E20F2" w:rsidRPr="007B1199">
        <w:rPr>
          <w:rFonts w:cstheme="minorHAnsi"/>
          <w:sz w:val="24"/>
        </w:rPr>
        <w:t>.</w:t>
      </w:r>
      <w:r w:rsidR="00F43801" w:rsidRPr="007B1199">
        <w:rPr>
          <w:rFonts w:cstheme="minorHAnsi"/>
          <w:sz w:val="24"/>
        </w:rPr>
        <w:t xml:space="preserve"> Sufinancirana je kulturna manifestacija Međimurska popevka</w:t>
      </w:r>
      <w:r w:rsidR="00BB66A0" w:rsidRPr="007B1199">
        <w:rPr>
          <w:rFonts w:cstheme="minorHAnsi"/>
          <w:sz w:val="24"/>
        </w:rPr>
        <w:t xml:space="preserve"> i rad </w:t>
      </w:r>
      <w:r w:rsidR="00E14E80">
        <w:rPr>
          <w:rFonts w:cstheme="minorHAnsi"/>
          <w:sz w:val="24"/>
        </w:rPr>
        <w:t>65</w:t>
      </w:r>
      <w:r w:rsidR="00BB66A0" w:rsidRPr="007B1199">
        <w:rPr>
          <w:rFonts w:cstheme="minorHAnsi"/>
          <w:sz w:val="24"/>
        </w:rPr>
        <w:t xml:space="preserve"> član</w:t>
      </w:r>
      <w:r w:rsidR="00E14E80">
        <w:rPr>
          <w:rFonts w:cstheme="minorHAnsi"/>
          <w:sz w:val="24"/>
        </w:rPr>
        <w:t>ova</w:t>
      </w:r>
      <w:r w:rsidR="00BB66A0" w:rsidRPr="007B1199">
        <w:rPr>
          <w:rFonts w:cstheme="minorHAnsi"/>
          <w:sz w:val="24"/>
        </w:rPr>
        <w:t xml:space="preserve"> Zajednice hrvatsko kulturno-umjetničkih udruga Međimurske županije.</w:t>
      </w:r>
    </w:p>
    <w:p w14:paraId="0A3F4DC1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EC880AF" w14:textId="6A0C6800" w:rsidR="003C6E82" w:rsidRPr="007B1199" w:rsidRDefault="003C6E82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20, posebni cilj 2.6. Bogat i uključiv društveni život</w:t>
      </w:r>
    </w:p>
    <w:p w14:paraId="7FEBC597" w14:textId="52FDC55F" w:rsidR="003C6E82" w:rsidRPr="007B1199" w:rsidRDefault="003C6E82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provedbu </w:t>
      </w:r>
      <w:r w:rsidRPr="007B1199">
        <w:rPr>
          <w:rFonts w:cstheme="minorHAnsi"/>
          <w:i/>
          <w:iCs/>
          <w:sz w:val="24"/>
        </w:rPr>
        <w:t xml:space="preserve">mjere 2.6.4. Zaštita, očuvanje, valorizacija i revitalizacija kulturne i povijesne baštine </w:t>
      </w:r>
      <w:r w:rsidR="00B13AA2" w:rsidRPr="007B1199">
        <w:rPr>
          <w:rFonts w:cstheme="minorHAnsi"/>
          <w:sz w:val="24"/>
        </w:rPr>
        <w:t>za aktivnosti vezane za razvoj kulture i ulaganja u zaštitu kulturne baštine te očuvanje i promociju kult. i povijesnih vrijednosti i sl. izdvojeno</w:t>
      </w:r>
      <w:r w:rsidRPr="007B1199">
        <w:rPr>
          <w:rFonts w:cstheme="minorHAnsi"/>
          <w:sz w:val="24"/>
        </w:rPr>
        <w:t xml:space="preserve"> je </w:t>
      </w:r>
      <w:r w:rsidR="007739C6">
        <w:rPr>
          <w:rFonts w:cstheme="minorHAnsi"/>
          <w:sz w:val="24"/>
        </w:rPr>
        <w:t>834.439,60</w:t>
      </w:r>
      <w:r w:rsidR="0083430F" w:rsidRPr="007B1199">
        <w:rPr>
          <w:rFonts w:cstheme="minorHAnsi"/>
          <w:sz w:val="24"/>
        </w:rPr>
        <w:t xml:space="preserve"> EUR</w:t>
      </w:r>
      <w:r w:rsidR="009D54AF" w:rsidRPr="007B1199">
        <w:rPr>
          <w:rFonts w:cstheme="minorHAnsi"/>
          <w:sz w:val="24"/>
        </w:rPr>
        <w:t xml:space="preserve"> te </w:t>
      </w:r>
      <w:r w:rsidR="007739C6">
        <w:rPr>
          <w:rFonts w:cstheme="minorHAnsi"/>
          <w:sz w:val="24"/>
        </w:rPr>
        <w:t>je</w:t>
      </w:r>
      <w:r w:rsidR="009D54AF" w:rsidRPr="007B1199">
        <w:rPr>
          <w:rFonts w:cstheme="minorHAnsi"/>
          <w:sz w:val="24"/>
        </w:rPr>
        <w:t xml:space="preserve"> dodijeljen</w:t>
      </w:r>
      <w:r w:rsidR="007739C6">
        <w:rPr>
          <w:rFonts w:cstheme="minorHAnsi"/>
          <w:sz w:val="24"/>
        </w:rPr>
        <w:t>o</w:t>
      </w:r>
      <w:r w:rsidR="009D54AF" w:rsidRPr="007B1199">
        <w:rPr>
          <w:rFonts w:cstheme="minorHAnsi"/>
          <w:sz w:val="24"/>
        </w:rPr>
        <w:t xml:space="preserve"> </w:t>
      </w:r>
      <w:r w:rsidR="007739C6">
        <w:rPr>
          <w:rFonts w:cstheme="minorHAnsi"/>
          <w:sz w:val="24"/>
        </w:rPr>
        <w:t>35</w:t>
      </w:r>
      <w:r w:rsidR="009D54AF" w:rsidRPr="007B1199">
        <w:rPr>
          <w:rFonts w:cstheme="minorHAnsi"/>
          <w:sz w:val="24"/>
        </w:rPr>
        <w:t xml:space="preserve"> potpor</w:t>
      </w:r>
      <w:r w:rsidR="007739C6">
        <w:rPr>
          <w:rFonts w:cstheme="minorHAnsi"/>
          <w:sz w:val="24"/>
        </w:rPr>
        <w:t>a</w:t>
      </w:r>
      <w:r w:rsidR="009D54AF" w:rsidRPr="007B1199">
        <w:rPr>
          <w:rFonts w:cstheme="minorHAnsi"/>
          <w:sz w:val="24"/>
        </w:rPr>
        <w:t xml:space="preserve"> za javne potrebe u kulturi.</w:t>
      </w:r>
      <w:r w:rsidRPr="007B1199">
        <w:rPr>
          <w:rFonts w:cstheme="minorHAnsi"/>
          <w:sz w:val="24"/>
        </w:rPr>
        <w:t xml:space="preserve"> </w:t>
      </w:r>
      <w:r w:rsidR="001764FD" w:rsidRPr="007B1199">
        <w:rPr>
          <w:rFonts w:cstheme="minorHAnsi"/>
          <w:sz w:val="24"/>
        </w:rPr>
        <w:t>Broj posjetitelja Muzeja Međimurja Čakovec u 202</w:t>
      </w:r>
      <w:r w:rsidR="007739C6">
        <w:rPr>
          <w:rFonts w:cstheme="minorHAnsi"/>
          <w:sz w:val="24"/>
        </w:rPr>
        <w:t>4</w:t>
      </w:r>
      <w:r w:rsidR="001764FD" w:rsidRPr="007B1199">
        <w:rPr>
          <w:rFonts w:cstheme="minorHAnsi"/>
          <w:sz w:val="24"/>
        </w:rPr>
        <w:t xml:space="preserve">. </w:t>
      </w:r>
      <w:r w:rsidR="00A02412" w:rsidRPr="007B1199">
        <w:rPr>
          <w:rFonts w:cstheme="minorHAnsi"/>
          <w:sz w:val="24"/>
        </w:rPr>
        <w:t>iznosio</w:t>
      </w:r>
      <w:r w:rsidR="001764FD" w:rsidRPr="007B1199">
        <w:rPr>
          <w:rFonts w:cstheme="minorHAnsi"/>
          <w:sz w:val="24"/>
        </w:rPr>
        <w:t xml:space="preserve"> je </w:t>
      </w:r>
      <w:r w:rsidR="007739C6">
        <w:rPr>
          <w:rFonts w:cstheme="minorHAnsi"/>
          <w:sz w:val="24"/>
        </w:rPr>
        <w:t>28.196</w:t>
      </w:r>
      <w:r w:rsidR="001764FD" w:rsidRPr="007B1199">
        <w:rPr>
          <w:rFonts w:cstheme="minorHAnsi"/>
          <w:sz w:val="24"/>
        </w:rPr>
        <w:t>.</w:t>
      </w:r>
    </w:p>
    <w:p w14:paraId="625A1FAA" w14:textId="77777777" w:rsidR="00C409B1" w:rsidRPr="007B1199" w:rsidRDefault="00C409B1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6FC35831" w14:textId="135550AB" w:rsidR="003C6E82" w:rsidRPr="007B1199" w:rsidRDefault="003C6E82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21, posebni cilj 2.6. Bogat i uključiv društveni život</w:t>
      </w:r>
    </w:p>
    <w:p w14:paraId="1FA41C40" w14:textId="5ACD296F" w:rsidR="003C6E82" w:rsidRPr="007B1199" w:rsidRDefault="003C6E82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</w:t>
      </w:r>
      <w:r w:rsidRPr="007B1199">
        <w:rPr>
          <w:rFonts w:cstheme="minorHAnsi"/>
          <w:i/>
          <w:iCs/>
          <w:sz w:val="24"/>
        </w:rPr>
        <w:t>mjeru 2.6.5 Uključivanje ranjivih skupina u društveni život</w:t>
      </w:r>
      <w:r w:rsidRPr="007B1199">
        <w:rPr>
          <w:rFonts w:cstheme="minorHAnsi"/>
          <w:sz w:val="24"/>
        </w:rPr>
        <w:t xml:space="preserve"> </w:t>
      </w:r>
      <w:r w:rsidR="00B13AA2" w:rsidRPr="007B1199">
        <w:rPr>
          <w:rFonts w:cstheme="minorHAnsi"/>
          <w:sz w:val="24"/>
        </w:rPr>
        <w:t xml:space="preserve">za financiranje programa i projekata za ranjive skupine </w:t>
      </w:r>
      <w:r w:rsidRPr="007B1199">
        <w:rPr>
          <w:rFonts w:cstheme="minorHAnsi"/>
          <w:sz w:val="24"/>
        </w:rPr>
        <w:t xml:space="preserve">izdvojeno je </w:t>
      </w:r>
      <w:r w:rsidR="00716CB6">
        <w:rPr>
          <w:rFonts w:cstheme="minorHAnsi"/>
          <w:sz w:val="24"/>
        </w:rPr>
        <w:t>601.986,21</w:t>
      </w:r>
      <w:r w:rsidR="001A5ADA" w:rsidRPr="007B1199">
        <w:rPr>
          <w:rFonts w:cstheme="minorHAnsi"/>
          <w:sz w:val="24"/>
        </w:rPr>
        <w:t xml:space="preserve"> EUR</w:t>
      </w:r>
      <w:r w:rsidRPr="007B1199">
        <w:rPr>
          <w:rFonts w:cstheme="minorHAnsi"/>
          <w:sz w:val="24"/>
        </w:rPr>
        <w:t xml:space="preserve">, od toga za </w:t>
      </w:r>
      <w:r w:rsidR="00141BA9" w:rsidRPr="007B1199">
        <w:rPr>
          <w:rFonts w:cstheme="minorHAnsi"/>
          <w:sz w:val="24"/>
        </w:rPr>
        <w:t>2</w:t>
      </w:r>
      <w:r w:rsidRPr="007B1199">
        <w:rPr>
          <w:rFonts w:cstheme="minorHAnsi"/>
          <w:sz w:val="24"/>
        </w:rPr>
        <w:t xml:space="preserve"> sjednic</w:t>
      </w:r>
      <w:r w:rsidR="00141BA9" w:rsidRPr="007B1199">
        <w:rPr>
          <w:rFonts w:cstheme="minorHAnsi"/>
          <w:sz w:val="24"/>
        </w:rPr>
        <w:t>e</w:t>
      </w:r>
      <w:r w:rsidRPr="007B1199">
        <w:rPr>
          <w:rFonts w:cstheme="minorHAnsi"/>
          <w:sz w:val="24"/>
        </w:rPr>
        <w:t xml:space="preserve"> Savjeta mladih</w:t>
      </w:r>
      <w:r w:rsidR="00141BA9" w:rsidRPr="007B1199">
        <w:rPr>
          <w:rFonts w:cstheme="minorHAnsi"/>
          <w:sz w:val="24"/>
        </w:rPr>
        <w:t xml:space="preserve"> te </w:t>
      </w:r>
      <w:r w:rsidR="001764FD" w:rsidRPr="007B1199">
        <w:rPr>
          <w:rFonts w:cstheme="minorHAnsi"/>
          <w:sz w:val="24"/>
        </w:rPr>
        <w:t>je dodijeljeno</w:t>
      </w:r>
      <w:r w:rsidR="00141BA9" w:rsidRPr="007B1199">
        <w:rPr>
          <w:rFonts w:cstheme="minorHAnsi"/>
          <w:sz w:val="24"/>
        </w:rPr>
        <w:t xml:space="preserve"> </w:t>
      </w:r>
      <w:r w:rsidR="00716CB6">
        <w:rPr>
          <w:rFonts w:cstheme="minorHAnsi"/>
          <w:sz w:val="24"/>
        </w:rPr>
        <w:t>61.105</w:t>
      </w:r>
      <w:r w:rsidR="00141BA9" w:rsidRPr="007B1199">
        <w:rPr>
          <w:rFonts w:cstheme="minorHAnsi"/>
          <w:sz w:val="24"/>
        </w:rPr>
        <w:t xml:space="preserve"> potpora osobama u riziku od siromaštva (umirovljenici).</w:t>
      </w:r>
      <w:r w:rsidR="0052625F">
        <w:rPr>
          <w:rFonts w:cstheme="minorHAnsi"/>
          <w:sz w:val="24"/>
        </w:rPr>
        <w:t xml:space="preserve"> </w:t>
      </w:r>
      <w:r w:rsidR="0052625F" w:rsidRPr="0052625F">
        <w:rPr>
          <w:rFonts w:cstheme="minorHAnsi"/>
          <w:sz w:val="24"/>
        </w:rPr>
        <w:t xml:space="preserve">Pokazatelj </w:t>
      </w:r>
      <w:r w:rsidR="0052625F">
        <w:rPr>
          <w:rFonts w:cstheme="minorHAnsi"/>
          <w:sz w:val="24"/>
        </w:rPr>
        <w:t>„</w:t>
      </w:r>
      <w:r w:rsidR="0052625F" w:rsidRPr="0052625F">
        <w:rPr>
          <w:rFonts w:cstheme="minorHAnsi"/>
          <w:sz w:val="24"/>
        </w:rPr>
        <w:t>Broj potpora umirovljenicima</w:t>
      </w:r>
      <w:r w:rsidR="0052625F">
        <w:rPr>
          <w:rFonts w:cstheme="minorHAnsi"/>
          <w:sz w:val="24"/>
        </w:rPr>
        <w:t>“</w:t>
      </w:r>
      <w:r w:rsidR="0052625F" w:rsidRPr="0052625F">
        <w:rPr>
          <w:rFonts w:cstheme="minorHAnsi"/>
          <w:sz w:val="24"/>
        </w:rPr>
        <w:t xml:space="preserve"> se promijenio jer je početno bilo planirano prema dodjeli uskrsnica što je od 2023.</w:t>
      </w:r>
      <w:r w:rsidR="0052625F">
        <w:rPr>
          <w:rFonts w:cstheme="minorHAnsi"/>
          <w:sz w:val="24"/>
        </w:rPr>
        <w:t xml:space="preserve"> godine </w:t>
      </w:r>
      <w:r w:rsidR="0052625F" w:rsidRPr="0052625F">
        <w:rPr>
          <w:rFonts w:cstheme="minorHAnsi"/>
          <w:sz w:val="24"/>
        </w:rPr>
        <w:t>ukinuto i zamijenjeno ulaznicama na bazene i kartama za vožnju javnim prijevozom.</w:t>
      </w:r>
    </w:p>
    <w:p w14:paraId="33F42287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09926C41" w14:textId="62ACF994" w:rsidR="00AD5EBF" w:rsidRPr="007B1199" w:rsidRDefault="00AD5EBF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22, posebni cilj 2.7. Unaprijeđen sustav upravljanja rizicima</w:t>
      </w:r>
    </w:p>
    <w:p w14:paraId="33F41D9F" w14:textId="3BF27546" w:rsidR="00AD5EBF" w:rsidRPr="007B1199" w:rsidRDefault="0084463C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I</w:t>
      </w:r>
      <w:r w:rsidR="00AD5EBF" w:rsidRPr="007B1199">
        <w:rPr>
          <w:rFonts w:cstheme="minorHAnsi"/>
          <w:sz w:val="24"/>
        </w:rPr>
        <w:t>zdvojeno</w:t>
      </w:r>
      <w:r w:rsidR="001832F1" w:rsidRPr="007B1199">
        <w:rPr>
          <w:rFonts w:cstheme="minorHAnsi"/>
          <w:sz w:val="24"/>
        </w:rPr>
        <w:t xml:space="preserve"> </w:t>
      </w:r>
      <w:r w:rsidR="00AD5EBF" w:rsidRPr="007B1199">
        <w:rPr>
          <w:rFonts w:cstheme="minorHAnsi"/>
          <w:sz w:val="24"/>
        </w:rPr>
        <w:t xml:space="preserve">je </w:t>
      </w:r>
      <w:r w:rsidR="00716CB6">
        <w:rPr>
          <w:rFonts w:cstheme="minorHAnsi"/>
          <w:sz w:val="24"/>
        </w:rPr>
        <w:t>227.707,27</w:t>
      </w:r>
      <w:r w:rsidR="001A5ADA" w:rsidRPr="007B1199">
        <w:rPr>
          <w:rFonts w:cstheme="minorHAnsi"/>
          <w:sz w:val="24"/>
        </w:rPr>
        <w:t xml:space="preserve"> EUR</w:t>
      </w:r>
      <w:r w:rsidR="00AD5EBF" w:rsidRPr="007B1199">
        <w:rPr>
          <w:rFonts w:cstheme="minorHAnsi"/>
          <w:sz w:val="24"/>
        </w:rPr>
        <w:t xml:space="preserve"> za </w:t>
      </w:r>
      <w:r w:rsidR="00AD5EBF" w:rsidRPr="007B1199">
        <w:rPr>
          <w:rFonts w:cstheme="minorHAnsi"/>
          <w:i/>
          <w:iCs/>
          <w:sz w:val="24"/>
        </w:rPr>
        <w:t xml:space="preserve">mjeru </w:t>
      </w:r>
      <w:r w:rsidR="001832F1" w:rsidRPr="007B1199">
        <w:rPr>
          <w:rFonts w:cstheme="minorHAnsi"/>
          <w:i/>
          <w:iCs/>
          <w:sz w:val="24"/>
        </w:rPr>
        <w:t>2.7.1. Učinkovita civilna zaštita</w:t>
      </w:r>
      <w:r w:rsidR="001832F1" w:rsidRPr="007B1199">
        <w:rPr>
          <w:rFonts w:cstheme="minorHAnsi"/>
          <w:sz w:val="24"/>
        </w:rPr>
        <w:t xml:space="preserve"> i to za: rekonstrukciju Regionalnog centra HGSS-a, za sufinanciranje rada </w:t>
      </w:r>
      <w:r w:rsidR="00DB2E2D" w:rsidRPr="007B1199">
        <w:rPr>
          <w:rFonts w:cstheme="minorHAnsi"/>
          <w:sz w:val="24"/>
        </w:rPr>
        <w:t>8</w:t>
      </w:r>
      <w:r w:rsidR="00716CB6">
        <w:rPr>
          <w:rFonts w:cstheme="minorHAnsi"/>
          <w:sz w:val="24"/>
        </w:rPr>
        <w:t>8</w:t>
      </w:r>
      <w:r w:rsidR="001832F1" w:rsidRPr="007B1199">
        <w:rPr>
          <w:rFonts w:cstheme="minorHAnsi"/>
          <w:sz w:val="24"/>
        </w:rPr>
        <w:t xml:space="preserve"> </w:t>
      </w:r>
      <w:r w:rsidR="00DB2E2D" w:rsidRPr="007B1199">
        <w:rPr>
          <w:rFonts w:cstheme="minorHAnsi"/>
          <w:sz w:val="24"/>
        </w:rPr>
        <w:t>vatrogasn</w:t>
      </w:r>
      <w:r w:rsidR="007C1752">
        <w:rPr>
          <w:rFonts w:cstheme="minorHAnsi"/>
          <w:sz w:val="24"/>
        </w:rPr>
        <w:t>ih</w:t>
      </w:r>
      <w:r w:rsidR="00DB2E2D" w:rsidRPr="007B1199">
        <w:rPr>
          <w:rFonts w:cstheme="minorHAnsi"/>
          <w:sz w:val="24"/>
        </w:rPr>
        <w:t xml:space="preserve"> društva </w:t>
      </w:r>
      <w:r w:rsidR="007C1752">
        <w:rPr>
          <w:rFonts w:cstheme="minorHAnsi"/>
          <w:sz w:val="24"/>
        </w:rPr>
        <w:t xml:space="preserve">i javnih vatrogasnih postrojbi </w:t>
      </w:r>
      <w:r w:rsidR="00BE2BCC" w:rsidRPr="007B1199">
        <w:rPr>
          <w:rFonts w:cstheme="minorHAnsi"/>
          <w:sz w:val="24"/>
        </w:rPr>
        <w:t xml:space="preserve">te je osposobljeno </w:t>
      </w:r>
      <w:r w:rsidR="007C1752">
        <w:rPr>
          <w:rFonts w:cstheme="minorHAnsi"/>
          <w:sz w:val="24"/>
        </w:rPr>
        <w:t>1145</w:t>
      </w:r>
      <w:r w:rsidR="00BE2BCC" w:rsidRPr="007B1199">
        <w:rPr>
          <w:rFonts w:cstheme="minorHAnsi"/>
          <w:sz w:val="24"/>
        </w:rPr>
        <w:t xml:space="preserve"> pripadnika DVD-a. </w:t>
      </w:r>
    </w:p>
    <w:p w14:paraId="2208CA33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E2D3FFC" w14:textId="7ACFF93F" w:rsidR="001832F1" w:rsidRPr="007B1199" w:rsidRDefault="001832F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23, posebni cilj 2.8. Dobro upravljanje u javnom sektoru</w:t>
      </w:r>
    </w:p>
    <w:p w14:paraId="08057C1F" w14:textId="3921EA56" w:rsidR="001832F1" w:rsidRPr="007B1199" w:rsidRDefault="001832F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</w:t>
      </w:r>
      <w:r w:rsidRPr="007B1199">
        <w:rPr>
          <w:rFonts w:cstheme="minorHAnsi"/>
          <w:i/>
          <w:iCs/>
          <w:sz w:val="24"/>
        </w:rPr>
        <w:t>mjeru 2.</w:t>
      </w:r>
      <w:r w:rsidR="006850CD" w:rsidRPr="007B1199">
        <w:rPr>
          <w:rFonts w:cstheme="minorHAnsi"/>
          <w:i/>
          <w:iCs/>
          <w:sz w:val="24"/>
        </w:rPr>
        <w:t>8</w:t>
      </w:r>
      <w:r w:rsidRPr="007B1199">
        <w:rPr>
          <w:rFonts w:cstheme="minorHAnsi"/>
          <w:i/>
          <w:iCs/>
          <w:sz w:val="24"/>
        </w:rPr>
        <w:t>.1. Povećanje učinkovitosti javne uprave</w:t>
      </w:r>
      <w:r w:rsidRPr="007B1199">
        <w:rPr>
          <w:rFonts w:cstheme="minorHAnsi"/>
          <w:sz w:val="24"/>
        </w:rPr>
        <w:t xml:space="preserve"> izdvojeno je </w:t>
      </w:r>
      <w:r w:rsidR="00780EBB">
        <w:rPr>
          <w:rFonts w:cstheme="minorHAnsi"/>
          <w:sz w:val="24"/>
        </w:rPr>
        <w:t>7.591.289,24</w:t>
      </w:r>
      <w:r w:rsidR="006850CD" w:rsidRPr="007B1199">
        <w:rPr>
          <w:rFonts w:cstheme="minorHAnsi"/>
          <w:sz w:val="24"/>
        </w:rPr>
        <w:t xml:space="preserve"> EUR</w:t>
      </w:r>
      <w:r w:rsidRPr="007B1199">
        <w:rPr>
          <w:rFonts w:cstheme="minorHAnsi"/>
          <w:sz w:val="24"/>
        </w:rPr>
        <w:t xml:space="preserve"> za aktivnosti vezane uz redovnu djelatnost izvršnog tijela, predstavničkih tijela i upravnih tijela samoupravne jedinice, te </w:t>
      </w:r>
      <w:r w:rsidR="00780EBB">
        <w:rPr>
          <w:rFonts w:cstheme="minorHAnsi"/>
          <w:sz w:val="24"/>
        </w:rPr>
        <w:t>je</w:t>
      </w:r>
      <w:r w:rsidRPr="007B1199">
        <w:rPr>
          <w:rFonts w:cstheme="minorHAnsi"/>
          <w:sz w:val="24"/>
        </w:rPr>
        <w:t xml:space="preserve"> u sklopu ove mjere održan</w:t>
      </w:r>
      <w:r w:rsidR="00780EBB">
        <w:rPr>
          <w:rFonts w:cstheme="minorHAnsi"/>
          <w:sz w:val="24"/>
        </w:rPr>
        <w:t>o</w:t>
      </w:r>
      <w:r w:rsidRPr="007B1199">
        <w:rPr>
          <w:rFonts w:cstheme="minorHAnsi"/>
          <w:sz w:val="24"/>
        </w:rPr>
        <w:t xml:space="preserve"> </w:t>
      </w:r>
      <w:r w:rsidR="00780EBB">
        <w:rPr>
          <w:rFonts w:cstheme="minorHAnsi"/>
          <w:sz w:val="24"/>
        </w:rPr>
        <w:t>6</w:t>
      </w:r>
      <w:r w:rsidRPr="007B1199">
        <w:rPr>
          <w:rFonts w:cstheme="minorHAnsi"/>
          <w:sz w:val="24"/>
        </w:rPr>
        <w:t xml:space="preserve"> sjednic</w:t>
      </w:r>
      <w:r w:rsidR="005C16E5">
        <w:rPr>
          <w:rFonts w:cstheme="minorHAnsi"/>
          <w:sz w:val="24"/>
        </w:rPr>
        <w:t>a</w:t>
      </w:r>
      <w:r w:rsidRPr="007B1199">
        <w:rPr>
          <w:rFonts w:cstheme="minorHAnsi"/>
          <w:sz w:val="24"/>
        </w:rPr>
        <w:t xml:space="preserve"> skupštine Međimurske </w:t>
      </w:r>
      <w:r w:rsidRPr="007B1199">
        <w:rPr>
          <w:rFonts w:cstheme="minorHAnsi"/>
          <w:sz w:val="24"/>
        </w:rPr>
        <w:lastRenderedPageBreak/>
        <w:t xml:space="preserve">županije, 3 sjednice Hrvatske zajednice županija </w:t>
      </w:r>
      <w:r w:rsidR="0084463C" w:rsidRPr="007B1199">
        <w:rPr>
          <w:rFonts w:cstheme="minorHAnsi"/>
          <w:sz w:val="24"/>
        </w:rPr>
        <w:t>i</w:t>
      </w:r>
      <w:r w:rsidRPr="007B1199">
        <w:rPr>
          <w:rFonts w:cstheme="minorHAnsi"/>
          <w:sz w:val="24"/>
        </w:rPr>
        <w:t xml:space="preserve"> pripremljen</w:t>
      </w:r>
      <w:r w:rsidR="005C16E5">
        <w:rPr>
          <w:rFonts w:cstheme="minorHAnsi"/>
          <w:sz w:val="24"/>
        </w:rPr>
        <w:t>a</w:t>
      </w:r>
      <w:r w:rsidR="0084463C" w:rsidRPr="007B1199">
        <w:rPr>
          <w:rFonts w:cstheme="minorHAnsi"/>
          <w:sz w:val="24"/>
        </w:rPr>
        <w:t xml:space="preserve"> </w:t>
      </w:r>
      <w:r w:rsidR="005C16E5">
        <w:rPr>
          <w:rFonts w:cstheme="minorHAnsi"/>
          <w:sz w:val="24"/>
        </w:rPr>
        <w:t>su</w:t>
      </w:r>
      <w:r w:rsidRPr="007B1199">
        <w:rPr>
          <w:rFonts w:cstheme="minorHAnsi"/>
          <w:sz w:val="24"/>
        </w:rPr>
        <w:t xml:space="preserve"> </w:t>
      </w:r>
      <w:r w:rsidR="005C16E5">
        <w:rPr>
          <w:rFonts w:cstheme="minorHAnsi"/>
          <w:sz w:val="24"/>
        </w:rPr>
        <w:t>2</w:t>
      </w:r>
      <w:r w:rsidR="0084463C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>izvještaj</w:t>
      </w:r>
      <w:r w:rsidR="005C16E5">
        <w:rPr>
          <w:rFonts w:cstheme="minorHAnsi"/>
          <w:sz w:val="24"/>
        </w:rPr>
        <w:t>a</w:t>
      </w:r>
      <w:r w:rsidRPr="007B1199">
        <w:rPr>
          <w:rFonts w:cstheme="minorHAnsi"/>
          <w:sz w:val="24"/>
        </w:rPr>
        <w:t xml:space="preserve"> o provedbi akata strateškog planiranja. </w:t>
      </w:r>
    </w:p>
    <w:p w14:paraId="65BCC52D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4C881A4F" w14:textId="185E563E" w:rsidR="001832F1" w:rsidRPr="007B1199" w:rsidRDefault="001832F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24, posebni cilj 2.8. Dobro upravljanje u javnom sektoru</w:t>
      </w:r>
    </w:p>
    <w:p w14:paraId="32E96468" w14:textId="5C6CA0F5" w:rsidR="001832F1" w:rsidRPr="007B1199" w:rsidRDefault="001832F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i/>
          <w:iCs/>
          <w:sz w:val="24"/>
        </w:rPr>
        <w:t xml:space="preserve">Mjera 2.8.2 Upravljanje regionalnim razvojem u skladu sa strateškim usmjerenjem Međimurske županije </w:t>
      </w:r>
      <w:r w:rsidRPr="007B1199">
        <w:rPr>
          <w:rFonts w:cstheme="minorHAnsi"/>
          <w:sz w:val="24"/>
        </w:rPr>
        <w:t>odnosi se na redovnu djelatnost regionalnoga koordinatora JU REDEA te pripremu projekata za sufinanciranje sredstvima ESI fondova. U 202</w:t>
      </w:r>
      <w:r w:rsidR="00625E99">
        <w:rPr>
          <w:rFonts w:cstheme="minorHAnsi"/>
          <w:sz w:val="24"/>
        </w:rPr>
        <w:t>4</w:t>
      </w:r>
      <w:r w:rsidRPr="007B1199">
        <w:rPr>
          <w:rFonts w:cstheme="minorHAnsi"/>
          <w:sz w:val="24"/>
        </w:rPr>
        <w:t xml:space="preserve">. za mjeru je izdvojeno </w:t>
      </w:r>
      <w:r w:rsidR="00625E99">
        <w:rPr>
          <w:rFonts w:cstheme="minorHAnsi"/>
          <w:sz w:val="24"/>
        </w:rPr>
        <w:t>530.891,00</w:t>
      </w:r>
      <w:r w:rsidR="00087BF4" w:rsidRPr="007B1199">
        <w:rPr>
          <w:rFonts w:cstheme="minorHAnsi"/>
          <w:sz w:val="24"/>
        </w:rPr>
        <w:t xml:space="preserve"> EUR</w:t>
      </w:r>
      <w:r w:rsidR="006850CD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 xml:space="preserve">te </w:t>
      </w:r>
      <w:r w:rsidR="006E46C5" w:rsidRPr="007B1199">
        <w:rPr>
          <w:rFonts w:cstheme="minorHAnsi"/>
          <w:sz w:val="24"/>
        </w:rPr>
        <w:t>je</w:t>
      </w:r>
      <w:r w:rsidRPr="007B1199">
        <w:rPr>
          <w:rFonts w:cstheme="minorHAnsi"/>
          <w:sz w:val="24"/>
        </w:rPr>
        <w:t xml:space="preserve"> proveden</w:t>
      </w:r>
      <w:r w:rsidR="009B74F6" w:rsidRPr="007B1199">
        <w:rPr>
          <w:rFonts w:cstheme="minorHAnsi"/>
          <w:sz w:val="24"/>
        </w:rPr>
        <w:t>o</w:t>
      </w:r>
      <w:r w:rsidRPr="007B1199">
        <w:rPr>
          <w:rFonts w:cstheme="minorHAnsi"/>
          <w:sz w:val="24"/>
        </w:rPr>
        <w:t xml:space="preserve"> </w:t>
      </w:r>
      <w:r w:rsidR="006E46C5" w:rsidRPr="007B1199">
        <w:rPr>
          <w:rFonts w:cstheme="minorHAnsi"/>
          <w:sz w:val="24"/>
        </w:rPr>
        <w:t>8</w:t>
      </w:r>
      <w:r w:rsidRPr="007B1199">
        <w:rPr>
          <w:rFonts w:cstheme="minorHAnsi"/>
          <w:sz w:val="24"/>
        </w:rPr>
        <w:t xml:space="preserve"> projekta</w:t>
      </w:r>
      <w:r w:rsidR="00BA654D" w:rsidRPr="007B1199">
        <w:rPr>
          <w:rFonts w:cstheme="minorHAnsi"/>
          <w:sz w:val="24"/>
        </w:rPr>
        <w:t xml:space="preserve"> dok </w:t>
      </w:r>
      <w:r w:rsidR="00F90109">
        <w:rPr>
          <w:rFonts w:cstheme="minorHAnsi"/>
          <w:sz w:val="24"/>
        </w:rPr>
        <w:t>je</w:t>
      </w:r>
      <w:r w:rsidR="00BA654D" w:rsidRPr="007B1199">
        <w:rPr>
          <w:rFonts w:cstheme="minorHAnsi"/>
          <w:sz w:val="24"/>
        </w:rPr>
        <w:t xml:space="preserve"> za korisnike pripremljen</w:t>
      </w:r>
      <w:r w:rsidR="00F90109">
        <w:rPr>
          <w:rFonts w:cstheme="minorHAnsi"/>
          <w:sz w:val="24"/>
        </w:rPr>
        <w:t>o</w:t>
      </w:r>
      <w:r w:rsidR="00BA654D" w:rsidRPr="007B1199">
        <w:rPr>
          <w:rFonts w:cstheme="minorHAnsi"/>
          <w:sz w:val="24"/>
        </w:rPr>
        <w:t xml:space="preserve"> </w:t>
      </w:r>
      <w:r w:rsidR="00F90109">
        <w:rPr>
          <w:rFonts w:cstheme="minorHAnsi"/>
          <w:sz w:val="24"/>
        </w:rPr>
        <w:t>59</w:t>
      </w:r>
      <w:r w:rsidR="009B74F6" w:rsidRPr="007B1199">
        <w:rPr>
          <w:rFonts w:cstheme="minorHAnsi"/>
          <w:sz w:val="24"/>
        </w:rPr>
        <w:t xml:space="preserve"> projekta</w:t>
      </w:r>
      <w:r w:rsidR="00CD7A38" w:rsidRPr="007B1199">
        <w:rPr>
          <w:rFonts w:cstheme="minorHAnsi"/>
          <w:sz w:val="24"/>
        </w:rPr>
        <w:t xml:space="preserve">. </w:t>
      </w:r>
    </w:p>
    <w:p w14:paraId="158EEF69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B428715" w14:textId="6CBDB438" w:rsidR="001832F1" w:rsidRPr="007B1199" w:rsidRDefault="001832F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25, posebni cilj 3.9. Održivo korištenje prirode i okoliša</w:t>
      </w:r>
    </w:p>
    <w:p w14:paraId="56FA929C" w14:textId="0F1D8D23" w:rsidR="001832F1" w:rsidRPr="007B1199" w:rsidRDefault="001832F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M</w:t>
      </w:r>
      <w:r w:rsidRPr="007B1199">
        <w:rPr>
          <w:rFonts w:cstheme="minorHAnsi"/>
          <w:i/>
          <w:iCs/>
          <w:sz w:val="24"/>
        </w:rPr>
        <w:t>jera 3.9.1. Participativno i prilagodljivo upravljanje prirodom i okolišem</w:t>
      </w:r>
      <w:r w:rsidRPr="007B1199">
        <w:rPr>
          <w:rFonts w:cstheme="minorHAnsi"/>
          <w:sz w:val="24"/>
        </w:rPr>
        <w:t xml:space="preserve"> odnosi se na redovnu djelatnost JU za zaštitu prirode Međimurska priroda te aktivnosti očuvanja i unaprjeđenja kvalitete prirode. Za mjeru je u 202</w:t>
      </w:r>
      <w:r w:rsidR="00366199">
        <w:rPr>
          <w:rFonts w:cstheme="minorHAnsi"/>
          <w:sz w:val="24"/>
        </w:rPr>
        <w:t>4</w:t>
      </w:r>
      <w:r w:rsidRPr="007B1199">
        <w:rPr>
          <w:rFonts w:cstheme="minorHAnsi"/>
          <w:sz w:val="24"/>
        </w:rPr>
        <w:t xml:space="preserve">. izdvojeno </w:t>
      </w:r>
      <w:r w:rsidR="00366199">
        <w:rPr>
          <w:rFonts w:cstheme="minorHAnsi"/>
          <w:sz w:val="24"/>
        </w:rPr>
        <w:t>651.439,26</w:t>
      </w:r>
      <w:r w:rsidR="00087BF4" w:rsidRPr="007B1199">
        <w:rPr>
          <w:rFonts w:cstheme="minorHAnsi"/>
          <w:sz w:val="24"/>
        </w:rPr>
        <w:t xml:space="preserve"> EUR</w:t>
      </w:r>
      <w:r w:rsidR="00755275" w:rsidRPr="007B1199">
        <w:rPr>
          <w:rFonts w:cstheme="minorHAnsi"/>
          <w:sz w:val="24"/>
        </w:rPr>
        <w:t xml:space="preserve"> te je </w:t>
      </w:r>
      <w:r w:rsidR="00366199">
        <w:rPr>
          <w:rFonts w:cstheme="minorHAnsi"/>
          <w:sz w:val="24"/>
        </w:rPr>
        <w:t xml:space="preserve">broj posjetitelja </w:t>
      </w:r>
      <w:r w:rsidR="00B4573E">
        <w:rPr>
          <w:rFonts w:cstheme="minorHAnsi"/>
          <w:sz w:val="24"/>
        </w:rPr>
        <w:t>na zaštićenim područjima ekološke mreže iznosio 81.000.</w:t>
      </w:r>
      <w:r w:rsidR="0052625F">
        <w:rPr>
          <w:rFonts w:cstheme="minorHAnsi"/>
          <w:sz w:val="24"/>
        </w:rPr>
        <w:t xml:space="preserve"> </w:t>
      </w:r>
      <w:r w:rsidR="00544281" w:rsidRPr="00544281">
        <w:rPr>
          <w:rFonts w:cstheme="minorHAnsi"/>
          <w:sz w:val="24"/>
        </w:rPr>
        <w:t>Planovi upravljanja zaštićenim područjima Međimurske županije su usvojeni tijekom 2022. i 2023. godine. Izrađena su 3 plana upravljanja.</w:t>
      </w:r>
    </w:p>
    <w:p w14:paraId="74546043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09107A61" w14:textId="4A8CCFF5" w:rsidR="00CD0C31" w:rsidRPr="007B1199" w:rsidRDefault="00CD0C3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26, posebni cilj 3.9. Održivo korištenje prirode i okoliša</w:t>
      </w:r>
    </w:p>
    <w:p w14:paraId="7EE9BDA0" w14:textId="20A9272C" w:rsidR="001832F1" w:rsidRPr="007B1199" w:rsidRDefault="00BA654D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CD0C31" w:rsidRPr="007B1199">
        <w:rPr>
          <w:rFonts w:cstheme="minorHAnsi"/>
          <w:sz w:val="24"/>
        </w:rPr>
        <w:t xml:space="preserve"> aktivnosti vezane za zaštitu prirode i okoliša u sklopu </w:t>
      </w:r>
      <w:r w:rsidR="00CD0C31" w:rsidRPr="007B1199">
        <w:rPr>
          <w:rFonts w:cstheme="minorHAnsi"/>
          <w:i/>
          <w:iCs/>
          <w:sz w:val="24"/>
        </w:rPr>
        <w:t>mjere 3.9.2. Promicanje važnosti zaštite prirode i okoliša</w:t>
      </w:r>
      <w:r w:rsidR="00CD0C31" w:rsidRPr="007B1199">
        <w:rPr>
          <w:rFonts w:cstheme="minorHAnsi"/>
          <w:sz w:val="24"/>
        </w:rPr>
        <w:t xml:space="preserve"> izdvojeno je </w:t>
      </w:r>
      <w:r w:rsidR="00B4573E">
        <w:rPr>
          <w:rFonts w:cstheme="minorHAnsi"/>
          <w:sz w:val="24"/>
        </w:rPr>
        <w:t>1.404.103,04</w:t>
      </w:r>
      <w:r w:rsidR="00114A9A" w:rsidRPr="007B1199">
        <w:rPr>
          <w:rFonts w:cstheme="minorHAnsi"/>
          <w:sz w:val="24"/>
        </w:rPr>
        <w:t xml:space="preserve"> EUR</w:t>
      </w:r>
      <w:r w:rsidR="0027424A" w:rsidRPr="007B1199">
        <w:rPr>
          <w:rFonts w:cstheme="minorHAnsi"/>
          <w:sz w:val="24"/>
        </w:rPr>
        <w:t>.</w:t>
      </w:r>
    </w:p>
    <w:p w14:paraId="1FAE41B9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729CBF2F" w14:textId="2C7A59DB" w:rsidR="00CD0C31" w:rsidRPr="007B1199" w:rsidRDefault="00CD0C3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27, posebni cilj 3.10. Energetska učinkovitost i korištenje OIE</w:t>
      </w:r>
    </w:p>
    <w:p w14:paraId="63CF74CB" w14:textId="35954634" w:rsidR="00CD0C31" w:rsidRPr="007B1199" w:rsidRDefault="00CD0C3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i/>
          <w:iCs/>
          <w:sz w:val="24"/>
        </w:rPr>
        <w:t>Mjera 3.10.1. Povećanje energetske učinkovitosti</w:t>
      </w:r>
      <w:r w:rsidRPr="007B1199">
        <w:rPr>
          <w:rFonts w:cstheme="minorHAnsi"/>
          <w:sz w:val="24"/>
        </w:rPr>
        <w:t xml:space="preserve"> odnosi</w:t>
      </w:r>
      <w:r w:rsidR="00B13AA2" w:rsidRPr="007B1199">
        <w:rPr>
          <w:rFonts w:cstheme="minorHAnsi"/>
          <w:sz w:val="24"/>
        </w:rPr>
        <w:t>la</w:t>
      </w:r>
      <w:r w:rsidRPr="007B1199">
        <w:rPr>
          <w:rFonts w:cstheme="minorHAnsi"/>
          <w:sz w:val="24"/>
        </w:rPr>
        <w:t xml:space="preserve"> se na projekt</w:t>
      </w:r>
      <w:r w:rsidR="005022B8" w:rsidRPr="007B1199">
        <w:rPr>
          <w:rFonts w:cstheme="minorHAnsi"/>
          <w:sz w:val="24"/>
        </w:rPr>
        <w:t>e</w:t>
      </w:r>
      <w:r w:rsidRPr="007B1199">
        <w:rPr>
          <w:rFonts w:cstheme="minorHAnsi"/>
          <w:sz w:val="24"/>
        </w:rPr>
        <w:t xml:space="preserve"> energetske obnove</w:t>
      </w:r>
      <w:r w:rsidR="005022B8" w:rsidRPr="007B1199">
        <w:rPr>
          <w:rFonts w:cstheme="minorHAnsi"/>
          <w:sz w:val="24"/>
        </w:rPr>
        <w:t xml:space="preserve"> objekata iz područja</w:t>
      </w:r>
      <w:r w:rsidRPr="007B1199">
        <w:rPr>
          <w:rFonts w:cstheme="minorHAnsi"/>
          <w:sz w:val="24"/>
        </w:rPr>
        <w:t xml:space="preserve"> </w:t>
      </w:r>
      <w:r w:rsidR="005022B8" w:rsidRPr="007B1199">
        <w:rPr>
          <w:rFonts w:cstheme="minorHAnsi"/>
          <w:sz w:val="24"/>
        </w:rPr>
        <w:t xml:space="preserve">zdravstva </w:t>
      </w:r>
      <w:r w:rsidRPr="007B1199">
        <w:rPr>
          <w:rFonts w:cstheme="minorHAnsi"/>
          <w:sz w:val="24"/>
        </w:rPr>
        <w:t>za koj</w:t>
      </w:r>
      <w:r w:rsidR="00BA654D" w:rsidRPr="007B1199">
        <w:rPr>
          <w:rFonts w:cstheme="minorHAnsi"/>
          <w:sz w:val="24"/>
        </w:rPr>
        <w:t>e</w:t>
      </w:r>
      <w:r w:rsidRPr="007B1199">
        <w:rPr>
          <w:rFonts w:cstheme="minorHAnsi"/>
          <w:sz w:val="24"/>
        </w:rPr>
        <w:t xml:space="preserve"> je izdvojeno </w:t>
      </w:r>
      <w:r w:rsidR="00842E05">
        <w:rPr>
          <w:rFonts w:cstheme="minorHAnsi"/>
          <w:sz w:val="24"/>
        </w:rPr>
        <w:t>128.695,50</w:t>
      </w:r>
      <w:r w:rsidR="00180152" w:rsidRPr="007B1199">
        <w:rPr>
          <w:rFonts w:cstheme="minorHAnsi"/>
          <w:sz w:val="24"/>
        </w:rPr>
        <w:t xml:space="preserve"> EUR</w:t>
      </w:r>
      <w:r w:rsidRPr="007B1199">
        <w:rPr>
          <w:rFonts w:cstheme="minorHAnsi"/>
          <w:sz w:val="24"/>
        </w:rPr>
        <w:t>.</w:t>
      </w:r>
    </w:p>
    <w:p w14:paraId="02B13671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2B702E46" w14:textId="49D8C5F5" w:rsidR="00CD0C31" w:rsidRPr="007B1199" w:rsidRDefault="00CD0C3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28, posebni cilj 3.11. Razvijena komunalna infrastruktura</w:t>
      </w:r>
    </w:p>
    <w:p w14:paraId="59518BB3" w14:textId="491EF308" w:rsidR="00CD0C31" w:rsidRPr="007B1199" w:rsidRDefault="00BF5B57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Za</w:t>
      </w:r>
      <w:r w:rsidR="00CD0C31" w:rsidRPr="007B1199">
        <w:rPr>
          <w:rFonts w:cstheme="minorHAnsi"/>
          <w:sz w:val="24"/>
        </w:rPr>
        <w:t xml:space="preserve"> aktivnosti vezane uz unaprjeđenje sustava održivog gospodarenja otpadom u sklopu </w:t>
      </w:r>
      <w:r w:rsidR="00CD0C31" w:rsidRPr="007B1199">
        <w:rPr>
          <w:rFonts w:cstheme="minorHAnsi"/>
          <w:i/>
          <w:iCs/>
          <w:sz w:val="24"/>
        </w:rPr>
        <w:t>mjere 3.11.1. Povećanje učinkovitosti sustava gospodarenja otpadom</w:t>
      </w:r>
      <w:r w:rsidR="00CD0C31" w:rsidRPr="007B1199">
        <w:rPr>
          <w:rFonts w:cstheme="minorHAnsi"/>
          <w:sz w:val="24"/>
        </w:rPr>
        <w:t xml:space="preserve"> </w:t>
      </w:r>
      <w:r w:rsidR="00911ED6" w:rsidRPr="007B1199">
        <w:rPr>
          <w:rFonts w:cstheme="minorHAnsi"/>
          <w:sz w:val="24"/>
        </w:rPr>
        <w:t xml:space="preserve">ističe se da je količina prikupljenog biotpada iznosila za cijelu županiju </w:t>
      </w:r>
      <w:r w:rsidR="00842E05">
        <w:rPr>
          <w:rFonts w:cstheme="minorHAnsi"/>
          <w:sz w:val="24"/>
        </w:rPr>
        <w:t>9000</w:t>
      </w:r>
      <w:r w:rsidR="00911ED6" w:rsidRPr="007B1199">
        <w:rPr>
          <w:rFonts w:cstheme="minorHAnsi"/>
          <w:sz w:val="24"/>
        </w:rPr>
        <w:t xml:space="preserve"> t.</w:t>
      </w:r>
    </w:p>
    <w:p w14:paraId="16CA0E88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1C608A85" w14:textId="5795530D" w:rsidR="00CD0C31" w:rsidRPr="007B1199" w:rsidRDefault="00CD0C3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29, posebni cilj 3.12. Suvremena prometna infrastruktura</w:t>
      </w:r>
    </w:p>
    <w:p w14:paraId="20D0BDDC" w14:textId="0498154D" w:rsidR="00AD5EBF" w:rsidRPr="007B1199" w:rsidRDefault="00CD0C31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lastRenderedPageBreak/>
        <w:t>Za unapređenje sigurnosti prometa</w:t>
      </w:r>
      <w:r w:rsidR="00BF5B57" w:rsidRPr="007B1199">
        <w:rPr>
          <w:rFonts w:cstheme="minorHAnsi"/>
          <w:sz w:val="24"/>
        </w:rPr>
        <w:t xml:space="preserve"> </w:t>
      </w:r>
      <w:r w:rsidRPr="007B1199">
        <w:rPr>
          <w:rFonts w:cstheme="minorHAnsi"/>
          <w:sz w:val="24"/>
        </w:rPr>
        <w:t xml:space="preserve">u sklopu </w:t>
      </w:r>
      <w:r w:rsidRPr="007B1199">
        <w:rPr>
          <w:rFonts w:cstheme="minorHAnsi"/>
          <w:i/>
          <w:iCs/>
          <w:sz w:val="24"/>
        </w:rPr>
        <w:t>mjere 3.12.1. Unapređenje prometne infrastrukture</w:t>
      </w:r>
      <w:r w:rsidRPr="007B1199">
        <w:rPr>
          <w:rFonts w:cstheme="minorHAnsi"/>
          <w:sz w:val="24"/>
        </w:rPr>
        <w:t xml:space="preserve"> izdvojeno je </w:t>
      </w:r>
      <w:r w:rsidR="00842E05">
        <w:rPr>
          <w:rFonts w:cstheme="minorHAnsi"/>
          <w:sz w:val="24"/>
        </w:rPr>
        <w:t>9.063,90</w:t>
      </w:r>
      <w:r w:rsidR="001A5511" w:rsidRPr="007B1199">
        <w:rPr>
          <w:rFonts w:cstheme="minorHAnsi"/>
          <w:sz w:val="24"/>
        </w:rPr>
        <w:t xml:space="preserve"> EUR</w:t>
      </w:r>
      <w:r w:rsidR="00842E05">
        <w:rPr>
          <w:rFonts w:cstheme="minorHAnsi"/>
          <w:sz w:val="24"/>
        </w:rPr>
        <w:t xml:space="preserve"> te su održane 2 sjednice </w:t>
      </w:r>
      <w:r w:rsidR="0007620F">
        <w:rPr>
          <w:rFonts w:cstheme="minorHAnsi"/>
          <w:sz w:val="24"/>
        </w:rPr>
        <w:t>Savjeta</w:t>
      </w:r>
      <w:r w:rsidR="00842E05">
        <w:rPr>
          <w:rFonts w:cstheme="minorHAnsi"/>
          <w:sz w:val="24"/>
        </w:rPr>
        <w:t xml:space="preserve"> </w:t>
      </w:r>
      <w:r w:rsidR="0007620F">
        <w:rPr>
          <w:rFonts w:cstheme="minorHAnsi"/>
          <w:sz w:val="24"/>
        </w:rPr>
        <w:t>za sigurnost prometa Međimurske županije.</w:t>
      </w:r>
    </w:p>
    <w:p w14:paraId="62AD0BB1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1B2BD0B0" w14:textId="011D408C" w:rsidR="001A5511" w:rsidRPr="007B1199" w:rsidRDefault="001A551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>Mjera 30, posebni cilj 3.12. Suvremena prometna infrastruktura</w:t>
      </w:r>
    </w:p>
    <w:p w14:paraId="747A8421" w14:textId="06D45D56" w:rsidR="001A5511" w:rsidRPr="007B1199" w:rsidRDefault="000B6D3B" w:rsidP="00C409B1">
      <w:pPr>
        <w:spacing w:after="0" w:line="360" w:lineRule="auto"/>
        <w:jc w:val="both"/>
        <w:rPr>
          <w:rFonts w:cstheme="minorHAnsi"/>
          <w:i/>
          <w:iCs/>
          <w:sz w:val="24"/>
        </w:rPr>
      </w:pPr>
      <w:r w:rsidRPr="007B1199">
        <w:rPr>
          <w:rFonts w:cstheme="minorHAnsi"/>
          <w:sz w:val="24"/>
        </w:rPr>
        <w:t>U</w:t>
      </w:r>
      <w:r w:rsidR="001A5511" w:rsidRPr="007B1199">
        <w:rPr>
          <w:rFonts w:cstheme="minorHAnsi"/>
          <w:sz w:val="24"/>
        </w:rPr>
        <w:t xml:space="preserve"> sklopu </w:t>
      </w:r>
      <w:r w:rsidR="001A5511" w:rsidRPr="007B1199">
        <w:rPr>
          <w:rFonts w:cstheme="minorHAnsi"/>
          <w:i/>
          <w:iCs/>
          <w:sz w:val="24"/>
        </w:rPr>
        <w:t>mjere 3.12.</w:t>
      </w:r>
      <w:r w:rsidR="00AB1E7E" w:rsidRPr="007B1199">
        <w:rPr>
          <w:rFonts w:cstheme="minorHAnsi"/>
          <w:i/>
          <w:iCs/>
          <w:sz w:val="24"/>
        </w:rPr>
        <w:t>2</w:t>
      </w:r>
      <w:r w:rsidR="001A5511" w:rsidRPr="007B1199">
        <w:rPr>
          <w:rFonts w:cstheme="minorHAnsi"/>
          <w:i/>
          <w:iCs/>
          <w:sz w:val="24"/>
        </w:rPr>
        <w:t xml:space="preserve">. </w:t>
      </w:r>
      <w:r w:rsidR="00AB1E7E" w:rsidRPr="007B1199">
        <w:rPr>
          <w:rFonts w:cstheme="minorHAnsi"/>
          <w:i/>
          <w:iCs/>
          <w:sz w:val="24"/>
        </w:rPr>
        <w:t xml:space="preserve">Razvoj integriranog sustava javnog prijevoza </w:t>
      </w:r>
      <w:r w:rsidR="00AB1E7E" w:rsidRPr="007B1199">
        <w:rPr>
          <w:rFonts w:cstheme="minorHAnsi"/>
          <w:sz w:val="24"/>
        </w:rPr>
        <w:t>nisu provođene aktivnost</w:t>
      </w:r>
      <w:r w:rsidR="00BF5B57" w:rsidRPr="007B1199">
        <w:rPr>
          <w:rFonts w:cstheme="minorHAnsi"/>
          <w:sz w:val="24"/>
        </w:rPr>
        <w:t>i</w:t>
      </w:r>
      <w:r w:rsidRPr="007B1199">
        <w:rPr>
          <w:rFonts w:cstheme="minorHAnsi"/>
          <w:sz w:val="24"/>
        </w:rPr>
        <w:t xml:space="preserve"> u 202</w:t>
      </w:r>
      <w:r w:rsidR="0007620F">
        <w:rPr>
          <w:rFonts w:cstheme="minorHAnsi"/>
          <w:sz w:val="24"/>
        </w:rPr>
        <w:t>4</w:t>
      </w:r>
      <w:r w:rsidRPr="007B1199">
        <w:rPr>
          <w:rFonts w:cstheme="minorHAnsi"/>
          <w:sz w:val="24"/>
        </w:rPr>
        <w:t>. godin</w:t>
      </w:r>
      <w:r w:rsidR="00AB1E7E" w:rsidRPr="007B1199">
        <w:rPr>
          <w:rFonts w:cstheme="minorHAnsi"/>
          <w:sz w:val="24"/>
        </w:rPr>
        <w:t>i</w:t>
      </w:r>
      <w:r w:rsidR="0007620F">
        <w:rPr>
          <w:rFonts w:cstheme="minorHAnsi"/>
          <w:sz w:val="24"/>
        </w:rPr>
        <w:t xml:space="preserve"> te se od ove aktivnosti odustaje. </w:t>
      </w:r>
    </w:p>
    <w:p w14:paraId="46035B8B" w14:textId="77777777" w:rsidR="00A02412" w:rsidRPr="007B1199" w:rsidRDefault="00A02412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6954D0B9" w14:textId="085EAC6D" w:rsidR="00CD0C31" w:rsidRPr="007B1199" w:rsidRDefault="00CD0C31" w:rsidP="00C409B1">
      <w:pPr>
        <w:spacing w:after="0" w:line="360" w:lineRule="auto"/>
        <w:jc w:val="both"/>
        <w:rPr>
          <w:rFonts w:cstheme="minorHAnsi"/>
          <w:b/>
          <w:bCs/>
          <w:sz w:val="24"/>
        </w:rPr>
      </w:pPr>
      <w:r w:rsidRPr="007B1199">
        <w:rPr>
          <w:rFonts w:cstheme="minorHAnsi"/>
          <w:b/>
          <w:bCs/>
          <w:sz w:val="24"/>
        </w:rPr>
        <w:t xml:space="preserve">Mjera 31, posebni cilj </w:t>
      </w:r>
      <w:r w:rsidR="00943554" w:rsidRPr="007B1199">
        <w:rPr>
          <w:rFonts w:cstheme="minorHAnsi"/>
          <w:b/>
          <w:bCs/>
          <w:sz w:val="24"/>
        </w:rPr>
        <w:t>3.13. Kvalitetna urbani i ruralni prostor</w:t>
      </w:r>
    </w:p>
    <w:p w14:paraId="12492836" w14:textId="7915742A" w:rsidR="00B13AA2" w:rsidRDefault="00943554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Za </w:t>
      </w:r>
      <w:r w:rsidRPr="007B1199">
        <w:rPr>
          <w:rFonts w:cstheme="minorHAnsi"/>
          <w:i/>
          <w:iCs/>
          <w:sz w:val="24"/>
        </w:rPr>
        <w:t>mjeru 3.13.1. Razvoj pametnih i održivih sela i gradova</w:t>
      </w:r>
      <w:r w:rsidRPr="007B1199">
        <w:rPr>
          <w:rFonts w:cstheme="minorHAnsi"/>
          <w:sz w:val="24"/>
        </w:rPr>
        <w:t xml:space="preserve"> izdvojen</w:t>
      </w:r>
      <w:r w:rsidR="008C2838" w:rsidRPr="007B1199">
        <w:rPr>
          <w:rFonts w:cstheme="minorHAnsi"/>
          <w:sz w:val="24"/>
        </w:rPr>
        <w:t>o</w:t>
      </w:r>
      <w:r w:rsidRPr="007B1199">
        <w:rPr>
          <w:rFonts w:cstheme="minorHAnsi"/>
          <w:sz w:val="24"/>
        </w:rPr>
        <w:t xml:space="preserve"> </w:t>
      </w:r>
      <w:r w:rsidR="008C2838" w:rsidRPr="007B1199">
        <w:rPr>
          <w:rFonts w:cstheme="minorHAnsi"/>
          <w:sz w:val="24"/>
        </w:rPr>
        <w:t>je</w:t>
      </w:r>
      <w:r w:rsidRPr="007B1199">
        <w:rPr>
          <w:rFonts w:cstheme="minorHAnsi"/>
          <w:sz w:val="24"/>
        </w:rPr>
        <w:t xml:space="preserve"> </w:t>
      </w:r>
      <w:r w:rsidR="008C2838" w:rsidRPr="007B1199">
        <w:rPr>
          <w:rFonts w:cstheme="minorHAnsi"/>
          <w:sz w:val="24"/>
        </w:rPr>
        <w:t>10.000,00 EUR</w:t>
      </w:r>
      <w:r w:rsidR="00714C95" w:rsidRPr="007B1199">
        <w:rPr>
          <w:rFonts w:cstheme="minorHAnsi"/>
          <w:sz w:val="24"/>
        </w:rPr>
        <w:t xml:space="preserve">. </w:t>
      </w:r>
    </w:p>
    <w:p w14:paraId="46D63642" w14:textId="77777777" w:rsidR="0007620F" w:rsidRPr="007B1199" w:rsidRDefault="0007620F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09826DC" w14:textId="77777777" w:rsidR="005757B2" w:rsidRPr="007B1199" w:rsidRDefault="005757B2" w:rsidP="00C409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2"/>
        <w:rPr>
          <w:rFonts w:cstheme="minorHAnsi"/>
          <w:b/>
          <w:sz w:val="24"/>
        </w:rPr>
      </w:pPr>
      <w:bookmarkStart w:id="3" w:name="_Toc190849016"/>
      <w:r w:rsidRPr="007B1199">
        <w:rPr>
          <w:rFonts w:cstheme="minorHAnsi"/>
          <w:b/>
          <w:sz w:val="24"/>
        </w:rPr>
        <w:t>DOPRINOS OSTVARENJU CILJEVA JAVNIH POLITIKA</w:t>
      </w:r>
      <w:bookmarkEnd w:id="3"/>
    </w:p>
    <w:p w14:paraId="78179EB5" w14:textId="77777777" w:rsidR="00A838FF" w:rsidRPr="007B1199" w:rsidRDefault="00A838FF" w:rsidP="00C409B1">
      <w:pPr>
        <w:spacing w:after="0" w:line="360" w:lineRule="auto"/>
        <w:jc w:val="both"/>
        <w:rPr>
          <w:rFonts w:cstheme="minorHAnsi"/>
          <w:i/>
          <w:sz w:val="24"/>
        </w:rPr>
      </w:pPr>
    </w:p>
    <w:p w14:paraId="12ED2685" w14:textId="60D95D74" w:rsidR="006406D5" w:rsidRPr="007B1199" w:rsidRDefault="00156753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U pregledu stanja u upravnom području te u izvješću o napretku i provedbi mjera za razdoblje od 1. siječnja do 3</w:t>
      </w:r>
      <w:r w:rsidR="000A7086" w:rsidRPr="007B1199">
        <w:rPr>
          <w:rFonts w:cstheme="minorHAnsi"/>
          <w:sz w:val="24"/>
        </w:rPr>
        <w:t>1</w:t>
      </w:r>
      <w:r w:rsidRPr="007B1199">
        <w:rPr>
          <w:rFonts w:cstheme="minorHAnsi"/>
          <w:sz w:val="24"/>
        </w:rPr>
        <w:t xml:space="preserve">. </w:t>
      </w:r>
      <w:r w:rsidR="000A7086" w:rsidRPr="007B1199">
        <w:rPr>
          <w:rFonts w:cstheme="minorHAnsi"/>
          <w:sz w:val="24"/>
        </w:rPr>
        <w:t>prosinc</w:t>
      </w:r>
      <w:r w:rsidRPr="007B1199">
        <w:rPr>
          <w:rFonts w:cstheme="minorHAnsi"/>
          <w:sz w:val="24"/>
        </w:rPr>
        <w:t>a 202</w:t>
      </w:r>
      <w:r w:rsidR="00523F3F">
        <w:rPr>
          <w:rFonts w:cstheme="minorHAnsi"/>
          <w:sz w:val="24"/>
        </w:rPr>
        <w:t>4</w:t>
      </w:r>
      <w:r w:rsidRPr="007B1199">
        <w:rPr>
          <w:rFonts w:cstheme="minorHAnsi"/>
          <w:sz w:val="24"/>
        </w:rPr>
        <w:t xml:space="preserve">. godine vidljivo je da </w:t>
      </w:r>
      <w:r w:rsidR="00190C5B" w:rsidRPr="007B1199">
        <w:rPr>
          <w:rFonts w:cstheme="minorHAnsi"/>
          <w:sz w:val="24"/>
        </w:rPr>
        <w:t>Međimurska županija</w:t>
      </w:r>
      <w:r w:rsidRPr="007B1199">
        <w:rPr>
          <w:rFonts w:cstheme="minorHAnsi"/>
          <w:sz w:val="24"/>
        </w:rPr>
        <w:t xml:space="preserve"> izravno doprinosi provedbi </w:t>
      </w:r>
      <w:r w:rsidR="00E854E1" w:rsidRPr="007B1199">
        <w:rPr>
          <w:rFonts w:cstheme="minorHAnsi"/>
          <w:sz w:val="24"/>
        </w:rPr>
        <w:t xml:space="preserve">hijerarhijski višim strateškim aktima poput </w:t>
      </w:r>
      <w:r w:rsidR="00E854E1" w:rsidRPr="007B1199">
        <w:rPr>
          <w:rFonts w:cstheme="minorHAnsi"/>
          <w:bCs/>
          <w:sz w:val="24"/>
        </w:rPr>
        <w:t>Plana razvoja Međimurske županije do 2027. godine</w:t>
      </w:r>
      <w:r w:rsidR="00E854E1" w:rsidRPr="007B1199">
        <w:rPr>
          <w:rFonts w:cstheme="minorHAnsi"/>
          <w:sz w:val="24"/>
        </w:rPr>
        <w:t xml:space="preserve"> </w:t>
      </w:r>
      <w:r w:rsidR="00B15C7A" w:rsidRPr="007B1199">
        <w:rPr>
          <w:rFonts w:cstheme="minorHAnsi"/>
          <w:sz w:val="24"/>
        </w:rPr>
        <w:t xml:space="preserve">kao i </w:t>
      </w:r>
      <w:r w:rsidRPr="007B1199">
        <w:rPr>
          <w:rFonts w:cstheme="minorHAnsi"/>
          <w:sz w:val="24"/>
        </w:rPr>
        <w:t>Nacionaln</w:t>
      </w:r>
      <w:r w:rsidR="00E854E1" w:rsidRPr="007B1199">
        <w:rPr>
          <w:rFonts w:cstheme="minorHAnsi"/>
          <w:sz w:val="24"/>
        </w:rPr>
        <w:t>oj</w:t>
      </w:r>
      <w:r w:rsidRPr="007B1199">
        <w:rPr>
          <w:rFonts w:cstheme="minorHAnsi"/>
          <w:sz w:val="24"/>
        </w:rPr>
        <w:t xml:space="preserve"> razvojn</w:t>
      </w:r>
      <w:r w:rsidR="00E854E1" w:rsidRPr="007B1199">
        <w:rPr>
          <w:rFonts w:cstheme="minorHAnsi"/>
          <w:sz w:val="24"/>
        </w:rPr>
        <w:t>oj</w:t>
      </w:r>
      <w:r w:rsidRPr="007B1199">
        <w:rPr>
          <w:rFonts w:cstheme="minorHAnsi"/>
          <w:sz w:val="24"/>
        </w:rPr>
        <w:t xml:space="preserve"> strategij</w:t>
      </w:r>
      <w:r w:rsidR="00E854E1" w:rsidRPr="007B1199">
        <w:rPr>
          <w:rFonts w:cstheme="minorHAnsi"/>
          <w:sz w:val="24"/>
        </w:rPr>
        <w:t>i</w:t>
      </w:r>
      <w:r w:rsidRPr="007B1199">
        <w:rPr>
          <w:rFonts w:cstheme="minorHAnsi"/>
          <w:sz w:val="24"/>
        </w:rPr>
        <w:t xml:space="preserve"> Republike Hrvatske za razdoblje do 2030. godine</w:t>
      </w:r>
      <w:r w:rsidR="00E854E1" w:rsidRPr="007B1199">
        <w:rPr>
          <w:rFonts w:cstheme="minorHAnsi"/>
          <w:sz w:val="24"/>
        </w:rPr>
        <w:t xml:space="preserve">. Također, provedba provedbenog programa </w:t>
      </w:r>
      <w:r w:rsidR="00E854E1" w:rsidRPr="007B1199">
        <w:rPr>
          <w:rFonts w:cstheme="minorHAnsi"/>
          <w:bCs/>
          <w:sz w:val="24"/>
        </w:rPr>
        <w:t>usklađena je s ciljevima nove regionalne i kohezijske politike Europske unije za razdoblje 2021. - 2027.</w:t>
      </w:r>
      <w:r w:rsidR="00190C5B" w:rsidRPr="007B1199">
        <w:rPr>
          <w:rFonts w:cstheme="minorHAnsi"/>
          <w:sz w:val="24"/>
        </w:rPr>
        <w:t xml:space="preserve"> </w:t>
      </w:r>
    </w:p>
    <w:p w14:paraId="113DAB75" w14:textId="42A5E615" w:rsidR="006406D5" w:rsidRPr="007B1199" w:rsidRDefault="006406D5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Provedba planiranih mjera doprinosi ostvarivanju gospodarskih, socijalnih i demografskih ciljeva te mjera zbrinjavanja i jačanja administrativnih kapaciteta i učinkovit i održiv razvoj </w:t>
      </w:r>
      <w:r w:rsidR="00190C5B" w:rsidRPr="007B1199">
        <w:rPr>
          <w:rFonts w:cstheme="minorHAnsi"/>
          <w:sz w:val="24"/>
        </w:rPr>
        <w:t>Međimurske županije</w:t>
      </w:r>
      <w:r w:rsidRPr="007B1199">
        <w:rPr>
          <w:rFonts w:cstheme="minorHAnsi"/>
          <w:sz w:val="24"/>
        </w:rPr>
        <w:t>.</w:t>
      </w:r>
    </w:p>
    <w:p w14:paraId="21C94A14" w14:textId="6F332F8D" w:rsidR="0002645F" w:rsidRPr="007B1199" w:rsidRDefault="006616D2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>P</w:t>
      </w:r>
      <w:r w:rsidR="006406D5" w:rsidRPr="007B1199">
        <w:rPr>
          <w:rFonts w:cstheme="minorHAnsi"/>
          <w:sz w:val="24"/>
        </w:rPr>
        <w:t xml:space="preserve">rioriteti </w:t>
      </w:r>
      <w:r w:rsidRPr="007B1199">
        <w:rPr>
          <w:rFonts w:cstheme="minorHAnsi"/>
          <w:sz w:val="24"/>
        </w:rPr>
        <w:t xml:space="preserve">javne politike Međimurske županije prema Planu razvoja Međimurske županije za razdoblje do 2027. godine su održivi razvoj, zdravo, uključivo i otporno društvo te zeleno i digitalno Međimurje. </w:t>
      </w:r>
      <w:r w:rsidR="0002645F" w:rsidRPr="007B1199">
        <w:rPr>
          <w:rFonts w:cstheme="minorHAnsi"/>
          <w:sz w:val="24"/>
        </w:rPr>
        <w:t xml:space="preserve">  </w:t>
      </w:r>
    </w:p>
    <w:p w14:paraId="73E3E972" w14:textId="77777777" w:rsidR="00AD4995" w:rsidRPr="007B1199" w:rsidRDefault="00AD4995" w:rsidP="00C409B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34175E" w14:textId="2454CBC8" w:rsidR="003315B8" w:rsidRPr="007B1199" w:rsidRDefault="00E854E1" w:rsidP="00C409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1199">
        <w:rPr>
          <w:rFonts w:cstheme="minorHAnsi"/>
          <w:sz w:val="24"/>
          <w:szCs w:val="24"/>
        </w:rPr>
        <w:t>Tijekom 202</w:t>
      </w:r>
      <w:r w:rsidR="002C476E">
        <w:rPr>
          <w:rFonts w:cstheme="minorHAnsi"/>
          <w:sz w:val="24"/>
          <w:szCs w:val="24"/>
        </w:rPr>
        <w:t>4</w:t>
      </w:r>
      <w:r w:rsidRPr="007B1199">
        <w:rPr>
          <w:rFonts w:cstheme="minorHAnsi"/>
          <w:sz w:val="24"/>
          <w:szCs w:val="24"/>
        </w:rPr>
        <w:t>. ostvareni su sljedeći značajni rezultati po posebnim ciljevima</w:t>
      </w:r>
      <w:r w:rsidR="00DC2A90" w:rsidRPr="007B1199">
        <w:rPr>
          <w:rFonts w:cstheme="minorHAnsi"/>
          <w:sz w:val="24"/>
          <w:szCs w:val="24"/>
        </w:rPr>
        <w:t xml:space="preserve"> tj. </w:t>
      </w:r>
      <w:r w:rsidR="001E2126" w:rsidRPr="007B1199">
        <w:rPr>
          <w:rFonts w:cstheme="minorHAnsi"/>
          <w:sz w:val="24"/>
          <w:szCs w:val="24"/>
        </w:rPr>
        <w:t xml:space="preserve">u provedbi su projekti kojima su </w:t>
      </w:r>
      <w:r w:rsidR="00DC2A90" w:rsidRPr="007B1199">
        <w:rPr>
          <w:rFonts w:cstheme="minorHAnsi"/>
          <w:sz w:val="24"/>
          <w:szCs w:val="24"/>
        </w:rPr>
        <w:t xml:space="preserve">osigurana sredstva na natječaju MRRFEU za izradu projektne dokumentacije za </w:t>
      </w:r>
      <w:r w:rsidR="002C476E">
        <w:rPr>
          <w:rFonts w:cstheme="minorHAnsi"/>
          <w:sz w:val="24"/>
          <w:szCs w:val="24"/>
        </w:rPr>
        <w:t>sljedeće</w:t>
      </w:r>
      <w:r w:rsidR="00DC2A90" w:rsidRPr="007B1199">
        <w:rPr>
          <w:rFonts w:cstheme="minorHAnsi"/>
          <w:sz w:val="24"/>
          <w:szCs w:val="24"/>
        </w:rPr>
        <w:t xml:space="preserve"> stratešk</w:t>
      </w:r>
      <w:r w:rsidR="002C476E">
        <w:rPr>
          <w:rFonts w:cstheme="minorHAnsi"/>
          <w:sz w:val="24"/>
          <w:szCs w:val="24"/>
        </w:rPr>
        <w:t>e</w:t>
      </w:r>
      <w:r w:rsidR="00DC2A90" w:rsidRPr="007B1199">
        <w:rPr>
          <w:rFonts w:cstheme="minorHAnsi"/>
          <w:sz w:val="24"/>
          <w:szCs w:val="24"/>
        </w:rPr>
        <w:t xml:space="preserve"> projekt</w:t>
      </w:r>
      <w:r w:rsidR="002C476E">
        <w:rPr>
          <w:rFonts w:cstheme="minorHAnsi"/>
          <w:sz w:val="24"/>
          <w:szCs w:val="24"/>
        </w:rPr>
        <w:t>e</w:t>
      </w:r>
      <w:r w:rsidRPr="007B1199">
        <w:rPr>
          <w:rFonts w:cstheme="minorHAnsi"/>
          <w:sz w:val="24"/>
          <w:szCs w:val="24"/>
        </w:rPr>
        <w:t>:</w:t>
      </w:r>
    </w:p>
    <w:p w14:paraId="6C559036" w14:textId="77777777" w:rsidR="00DC2A90" w:rsidRPr="007B1199" w:rsidRDefault="00DC2A90" w:rsidP="00C409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B1199">
        <w:rPr>
          <w:rFonts w:cstheme="minorHAnsi"/>
          <w:sz w:val="24"/>
          <w:szCs w:val="24"/>
        </w:rPr>
        <w:t>PC 1.1 Konkurentno i inovativno gospodarstvo</w:t>
      </w:r>
    </w:p>
    <w:p w14:paraId="215B02A4" w14:textId="04ACBD66" w:rsidR="00DC2A90" w:rsidRPr="007B1199" w:rsidRDefault="00DC2A90" w:rsidP="00C409B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7B1199">
        <w:rPr>
          <w:rFonts w:cstheme="minorHAnsi"/>
          <w:i/>
          <w:iCs/>
          <w:sz w:val="24"/>
          <w:szCs w:val="24"/>
        </w:rPr>
        <w:t>Strateški projekt: Proširenje i unapređenje Centra znanja Čakovec</w:t>
      </w:r>
    </w:p>
    <w:p w14:paraId="69524D9D" w14:textId="15786351" w:rsidR="00DC2A90" w:rsidRPr="007B1199" w:rsidRDefault="00DC2A90" w:rsidP="00C409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B1199">
        <w:rPr>
          <w:rFonts w:cstheme="minorHAnsi"/>
          <w:sz w:val="24"/>
          <w:szCs w:val="24"/>
        </w:rPr>
        <w:lastRenderedPageBreak/>
        <w:t>PC 1.4 Kvalitetno i suvremeno obrazovanje</w:t>
      </w:r>
    </w:p>
    <w:p w14:paraId="5933F735" w14:textId="7589ED1F" w:rsidR="00DC2A90" w:rsidRPr="007B1199" w:rsidRDefault="00DC2A90" w:rsidP="00C409B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7B1199">
        <w:rPr>
          <w:rFonts w:cstheme="minorHAnsi"/>
          <w:i/>
          <w:iCs/>
          <w:sz w:val="24"/>
          <w:szCs w:val="24"/>
        </w:rPr>
        <w:t>Strateški projekt: Izgradnja osnovne škole Nedelišće</w:t>
      </w:r>
    </w:p>
    <w:p w14:paraId="1F90F914" w14:textId="17B04125" w:rsidR="00DC2A90" w:rsidRPr="007B1199" w:rsidRDefault="00DC2A90" w:rsidP="00C409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B1199">
        <w:rPr>
          <w:rFonts w:cstheme="minorHAnsi"/>
          <w:sz w:val="24"/>
          <w:szCs w:val="24"/>
        </w:rPr>
        <w:t>PC 2.5 Učinkovita i dostupna zdravstvena i socijalna skrb</w:t>
      </w:r>
    </w:p>
    <w:p w14:paraId="0D11B3F7" w14:textId="4DD2D5E2" w:rsidR="00DC2A90" w:rsidRPr="007B1199" w:rsidRDefault="00DC2A90" w:rsidP="00C409B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7B1199">
        <w:rPr>
          <w:rFonts w:cstheme="minorHAnsi"/>
          <w:i/>
          <w:iCs/>
          <w:sz w:val="24"/>
          <w:szCs w:val="24"/>
        </w:rPr>
        <w:t>Strateški projekt: Proširenje infrastrukture i usluga Županijske bolnice Čakovec</w:t>
      </w:r>
    </w:p>
    <w:p w14:paraId="1145EFF8" w14:textId="359EE351" w:rsidR="00DC2A90" w:rsidRPr="007B1199" w:rsidRDefault="00DC2A90" w:rsidP="00C409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B1199">
        <w:rPr>
          <w:rFonts w:cstheme="minorHAnsi"/>
          <w:sz w:val="24"/>
          <w:szCs w:val="24"/>
        </w:rPr>
        <w:t xml:space="preserve">PC 3.13 Kvalitetan urbani i ruralni prostor  </w:t>
      </w:r>
    </w:p>
    <w:p w14:paraId="06D21FB4" w14:textId="436181D4" w:rsidR="00DC2A90" w:rsidRPr="007B1199" w:rsidRDefault="00DC2A90" w:rsidP="00C409B1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cstheme="minorHAnsi"/>
          <w:i/>
          <w:iCs/>
          <w:sz w:val="24"/>
        </w:rPr>
      </w:pPr>
      <w:r w:rsidRPr="007B1199">
        <w:rPr>
          <w:rFonts w:cstheme="minorHAnsi"/>
          <w:i/>
          <w:iCs/>
          <w:sz w:val="24"/>
          <w:szCs w:val="24"/>
        </w:rPr>
        <w:t>Strateški projekt: Zelena oaza Čakovec</w:t>
      </w:r>
    </w:p>
    <w:p w14:paraId="6854A980" w14:textId="77777777" w:rsidR="00EF1D77" w:rsidRPr="007B1199" w:rsidRDefault="00EF1D77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53EDC6AB" w14:textId="02FABDEC" w:rsidR="0002645F" w:rsidRPr="007B1199" w:rsidRDefault="00B15C7A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 xml:space="preserve">Sve mjere su u funkciji gospodarskog razvoja i demografske revitalizacije te će doprinijeti razvoju </w:t>
      </w:r>
      <w:r w:rsidR="008632BF" w:rsidRPr="007B1199">
        <w:rPr>
          <w:rFonts w:cstheme="minorHAnsi"/>
          <w:sz w:val="24"/>
        </w:rPr>
        <w:t>Međimurske županije</w:t>
      </w:r>
      <w:r w:rsidRPr="007B1199">
        <w:rPr>
          <w:rFonts w:cstheme="minorHAnsi"/>
          <w:sz w:val="24"/>
        </w:rPr>
        <w:t xml:space="preserve"> i povećanju kvalitete života i dizanju standarda na području </w:t>
      </w:r>
    </w:p>
    <w:p w14:paraId="1D37D44E" w14:textId="77777777" w:rsidR="005F7496" w:rsidRPr="007B1199" w:rsidRDefault="005F7496" w:rsidP="00C409B1">
      <w:pPr>
        <w:spacing w:after="0" w:line="360" w:lineRule="auto"/>
        <w:jc w:val="both"/>
        <w:rPr>
          <w:rFonts w:cstheme="minorHAnsi"/>
          <w:sz w:val="24"/>
        </w:rPr>
      </w:pPr>
    </w:p>
    <w:p w14:paraId="32D0997E" w14:textId="05C678C2" w:rsidR="005F7496" w:rsidRPr="007B1199" w:rsidRDefault="005F7496" w:rsidP="00C409B1">
      <w:pPr>
        <w:spacing w:after="0" w:line="360" w:lineRule="auto"/>
        <w:jc w:val="both"/>
        <w:rPr>
          <w:rFonts w:cstheme="minorHAnsi"/>
          <w:sz w:val="24"/>
        </w:rPr>
      </w:pP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  <w:r w:rsidRPr="007B1199">
        <w:rPr>
          <w:rFonts w:cstheme="minorHAnsi"/>
          <w:sz w:val="24"/>
        </w:rPr>
        <w:tab/>
      </w:r>
    </w:p>
    <w:p w14:paraId="079D4FF1" w14:textId="25C1F745" w:rsidR="005F7496" w:rsidRPr="007B1199" w:rsidRDefault="005F7496" w:rsidP="00C409B1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</w:rPr>
      </w:pPr>
      <w:r w:rsidRPr="007B1199">
        <w:rPr>
          <w:rFonts w:cstheme="minorHAnsi"/>
          <w:b/>
          <w:bCs/>
          <w:i/>
          <w:iCs/>
          <w:sz w:val="24"/>
        </w:rPr>
        <w:t xml:space="preserve">Prilog: Tablični predložak za izradu polugodišnjeg i godišnjeg izvješća o provedbi PP JLP(R)S </w:t>
      </w:r>
    </w:p>
    <w:sectPr w:rsidR="005F7496" w:rsidRPr="007B1199" w:rsidSect="00D10F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764D4" w14:textId="77777777" w:rsidR="00A77CA8" w:rsidRDefault="00A77CA8" w:rsidP="0018014F">
      <w:pPr>
        <w:spacing w:after="0" w:line="240" w:lineRule="auto"/>
      </w:pPr>
      <w:r>
        <w:separator/>
      </w:r>
    </w:p>
  </w:endnote>
  <w:endnote w:type="continuationSeparator" w:id="0">
    <w:p w14:paraId="4CB1D90F" w14:textId="77777777" w:rsidR="00A77CA8" w:rsidRDefault="00A77CA8" w:rsidP="0018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956994"/>
      <w:docPartObj>
        <w:docPartGallery w:val="Page Numbers (Bottom of Page)"/>
        <w:docPartUnique/>
      </w:docPartObj>
    </w:sdtPr>
    <w:sdtEndPr/>
    <w:sdtContent>
      <w:p w14:paraId="58DADDD1" w14:textId="43A9BF9C" w:rsidR="0018014F" w:rsidRDefault="001801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03">
          <w:rPr>
            <w:noProof/>
          </w:rPr>
          <w:t>2</w:t>
        </w:r>
        <w:r>
          <w:fldChar w:fldCharType="end"/>
        </w:r>
      </w:p>
    </w:sdtContent>
  </w:sdt>
  <w:p w14:paraId="0E0EDF41" w14:textId="77777777" w:rsidR="0018014F" w:rsidRDefault="00180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4FE39" w14:textId="77777777" w:rsidR="00A77CA8" w:rsidRDefault="00A77CA8" w:rsidP="0018014F">
      <w:pPr>
        <w:spacing w:after="0" w:line="240" w:lineRule="auto"/>
      </w:pPr>
      <w:r>
        <w:separator/>
      </w:r>
    </w:p>
  </w:footnote>
  <w:footnote w:type="continuationSeparator" w:id="0">
    <w:p w14:paraId="65F6E781" w14:textId="77777777" w:rsidR="00A77CA8" w:rsidRDefault="00A77CA8" w:rsidP="0018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7A0"/>
    <w:multiLevelType w:val="hybridMultilevel"/>
    <w:tmpl w:val="7FB6D912"/>
    <w:lvl w:ilvl="0" w:tplc="DB004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0A3B"/>
    <w:multiLevelType w:val="hybridMultilevel"/>
    <w:tmpl w:val="88861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02BE0"/>
    <w:multiLevelType w:val="hybridMultilevel"/>
    <w:tmpl w:val="68C2582A"/>
    <w:lvl w:ilvl="0" w:tplc="291C73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55BF"/>
    <w:multiLevelType w:val="hybridMultilevel"/>
    <w:tmpl w:val="E9F60E72"/>
    <w:lvl w:ilvl="0" w:tplc="610A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B2"/>
    <w:rsid w:val="000251BB"/>
    <w:rsid w:val="0002645F"/>
    <w:rsid w:val="000422CD"/>
    <w:rsid w:val="000703A3"/>
    <w:rsid w:val="000742B6"/>
    <w:rsid w:val="0007620F"/>
    <w:rsid w:val="000767D2"/>
    <w:rsid w:val="00087BF4"/>
    <w:rsid w:val="000A5347"/>
    <w:rsid w:val="000A5D66"/>
    <w:rsid w:val="000A7086"/>
    <w:rsid w:val="000A7423"/>
    <w:rsid w:val="000B21BB"/>
    <w:rsid w:val="000B3E6C"/>
    <w:rsid w:val="000B6D3B"/>
    <w:rsid w:val="000D77D8"/>
    <w:rsid w:val="000E20F2"/>
    <w:rsid w:val="001111C1"/>
    <w:rsid w:val="00114A9A"/>
    <w:rsid w:val="00130AE7"/>
    <w:rsid w:val="00141BA9"/>
    <w:rsid w:val="00156753"/>
    <w:rsid w:val="0016366D"/>
    <w:rsid w:val="00175C8D"/>
    <w:rsid w:val="001764FD"/>
    <w:rsid w:val="0018014F"/>
    <w:rsid w:val="00180152"/>
    <w:rsid w:val="00181056"/>
    <w:rsid w:val="001832F1"/>
    <w:rsid w:val="00190C5B"/>
    <w:rsid w:val="00194F5A"/>
    <w:rsid w:val="001A5511"/>
    <w:rsid w:val="001A5ADA"/>
    <w:rsid w:val="001B66C1"/>
    <w:rsid w:val="001D49CA"/>
    <w:rsid w:val="001E2126"/>
    <w:rsid w:val="001E422D"/>
    <w:rsid w:val="00203FC6"/>
    <w:rsid w:val="0021789C"/>
    <w:rsid w:val="00221D25"/>
    <w:rsid w:val="00250617"/>
    <w:rsid w:val="0027424A"/>
    <w:rsid w:val="00291AF4"/>
    <w:rsid w:val="00291AFF"/>
    <w:rsid w:val="002C476E"/>
    <w:rsid w:val="003172CA"/>
    <w:rsid w:val="003315B8"/>
    <w:rsid w:val="00331D7C"/>
    <w:rsid w:val="00333A97"/>
    <w:rsid w:val="00357B1B"/>
    <w:rsid w:val="00366199"/>
    <w:rsid w:val="00372B25"/>
    <w:rsid w:val="00377EC2"/>
    <w:rsid w:val="00381483"/>
    <w:rsid w:val="00382571"/>
    <w:rsid w:val="00395A1B"/>
    <w:rsid w:val="003A1105"/>
    <w:rsid w:val="003A5E8F"/>
    <w:rsid w:val="003B1236"/>
    <w:rsid w:val="003C3B81"/>
    <w:rsid w:val="003C6E82"/>
    <w:rsid w:val="003D20DB"/>
    <w:rsid w:val="003F4E8E"/>
    <w:rsid w:val="0041760C"/>
    <w:rsid w:val="00427DC8"/>
    <w:rsid w:val="00430C79"/>
    <w:rsid w:val="00445AD1"/>
    <w:rsid w:val="0048164C"/>
    <w:rsid w:val="0049241D"/>
    <w:rsid w:val="004C5D4D"/>
    <w:rsid w:val="004D6569"/>
    <w:rsid w:val="004E71D9"/>
    <w:rsid w:val="004F56FC"/>
    <w:rsid w:val="005022B8"/>
    <w:rsid w:val="00506287"/>
    <w:rsid w:val="00523F3F"/>
    <w:rsid w:val="0052625F"/>
    <w:rsid w:val="00544281"/>
    <w:rsid w:val="00545FB3"/>
    <w:rsid w:val="005757B2"/>
    <w:rsid w:val="005A10F6"/>
    <w:rsid w:val="005C0661"/>
    <w:rsid w:val="005C16E5"/>
    <w:rsid w:val="005C1A4B"/>
    <w:rsid w:val="005D48F9"/>
    <w:rsid w:val="005F7496"/>
    <w:rsid w:val="00625E99"/>
    <w:rsid w:val="00633BBC"/>
    <w:rsid w:val="006406D5"/>
    <w:rsid w:val="0064504B"/>
    <w:rsid w:val="00657453"/>
    <w:rsid w:val="00657B61"/>
    <w:rsid w:val="006616D2"/>
    <w:rsid w:val="00666E03"/>
    <w:rsid w:val="0066755B"/>
    <w:rsid w:val="00680DF0"/>
    <w:rsid w:val="006850CD"/>
    <w:rsid w:val="006B1B88"/>
    <w:rsid w:val="006B2E32"/>
    <w:rsid w:val="006B69B5"/>
    <w:rsid w:val="006D2753"/>
    <w:rsid w:val="006E46C5"/>
    <w:rsid w:val="006E7476"/>
    <w:rsid w:val="007032CD"/>
    <w:rsid w:val="00714C95"/>
    <w:rsid w:val="00716CB6"/>
    <w:rsid w:val="00734175"/>
    <w:rsid w:val="00755275"/>
    <w:rsid w:val="00767895"/>
    <w:rsid w:val="007739C6"/>
    <w:rsid w:val="00775CAD"/>
    <w:rsid w:val="00780EBB"/>
    <w:rsid w:val="00787AF0"/>
    <w:rsid w:val="007A7E17"/>
    <w:rsid w:val="007B1199"/>
    <w:rsid w:val="007B772D"/>
    <w:rsid w:val="007C1752"/>
    <w:rsid w:val="007F57F0"/>
    <w:rsid w:val="00807536"/>
    <w:rsid w:val="00821506"/>
    <w:rsid w:val="0083430F"/>
    <w:rsid w:val="00842E05"/>
    <w:rsid w:val="0084463C"/>
    <w:rsid w:val="008632BF"/>
    <w:rsid w:val="008A20B1"/>
    <w:rsid w:val="008B31C5"/>
    <w:rsid w:val="008C2838"/>
    <w:rsid w:val="008C73B2"/>
    <w:rsid w:val="00911ED6"/>
    <w:rsid w:val="00917A3C"/>
    <w:rsid w:val="00924659"/>
    <w:rsid w:val="00933421"/>
    <w:rsid w:val="009350A7"/>
    <w:rsid w:val="00935A28"/>
    <w:rsid w:val="00943554"/>
    <w:rsid w:val="00945ABF"/>
    <w:rsid w:val="00953F2C"/>
    <w:rsid w:val="009B74F6"/>
    <w:rsid w:val="009C13DC"/>
    <w:rsid w:val="009C6B5F"/>
    <w:rsid w:val="009D36D8"/>
    <w:rsid w:val="009D54AF"/>
    <w:rsid w:val="00A02412"/>
    <w:rsid w:val="00A0526D"/>
    <w:rsid w:val="00A11C6D"/>
    <w:rsid w:val="00A37C84"/>
    <w:rsid w:val="00A423F8"/>
    <w:rsid w:val="00A439D9"/>
    <w:rsid w:val="00A63114"/>
    <w:rsid w:val="00A77CA8"/>
    <w:rsid w:val="00A838FF"/>
    <w:rsid w:val="00A94561"/>
    <w:rsid w:val="00AA11A3"/>
    <w:rsid w:val="00AB0487"/>
    <w:rsid w:val="00AB1E7E"/>
    <w:rsid w:val="00AC1CBB"/>
    <w:rsid w:val="00AD41DE"/>
    <w:rsid w:val="00AD4995"/>
    <w:rsid w:val="00AD5EBF"/>
    <w:rsid w:val="00AE780B"/>
    <w:rsid w:val="00AF1DE6"/>
    <w:rsid w:val="00AF26C7"/>
    <w:rsid w:val="00B13527"/>
    <w:rsid w:val="00B13AA2"/>
    <w:rsid w:val="00B15C7A"/>
    <w:rsid w:val="00B23061"/>
    <w:rsid w:val="00B4573E"/>
    <w:rsid w:val="00B63439"/>
    <w:rsid w:val="00B64741"/>
    <w:rsid w:val="00B64DFF"/>
    <w:rsid w:val="00B748D2"/>
    <w:rsid w:val="00B82B47"/>
    <w:rsid w:val="00B90482"/>
    <w:rsid w:val="00BA367F"/>
    <w:rsid w:val="00BA654D"/>
    <w:rsid w:val="00BB3CC4"/>
    <w:rsid w:val="00BB66A0"/>
    <w:rsid w:val="00BC4ADB"/>
    <w:rsid w:val="00BE2BCC"/>
    <w:rsid w:val="00BF084E"/>
    <w:rsid w:val="00BF585A"/>
    <w:rsid w:val="00BF5B57"/>
    <w:rsid w:val="00C26029"/>
    <w:rsid w:val="00C409B1"/>
    <w:rsid w:val="00C43A5D"/>
    <w:rsid w:val="00C44B33"/>
    <w:rsid w:val="00C51F75"/>
    <w:rsid w:val="00C52550"/>
    <w:rsid w:val="00C73353"/>
    <w:rsid w:val="00C8133A"/>
    <w:rsid w:val="00C919FB"/>
    <w:rsid w:val="00CA12D9"/>
    <w:rsid w:val="00CC5408"/>
    <w:rsid w:val="00CD0C31"/>
    <w:rsid w:val="00CD7A38"/>
    <w:rsid w:val="00D0120C"/>
    <w:rsid w:val="00D05EA4"/>
    <w:rsid w:val="00D10F63"/>
    <w:rsid w:val="00D443F4"/>
    <w:rsid w:val="00D454EE"/>
    <w:rsid w:val="00D459CB"/>
    <w:rsid w:val="00D827C1"/>
    <w:rsid w:val="00D8416F"/>
    <w:rsid w:val="00D93B36"/>
    <w:rsid w:val="00D94864"/>
    <w:rsid w:val="00DA082D"/>
    <w:rsid w:val="00DA3F65"/>
    <w:rsid w:val="00DB283A"/>
    <w:rsid w:val="00DB2E2D"/>
    <w:rsid w:val="00DB4FF9"/>
    <w:rsid w:val="00DC2A90"/>
    <w:rsid w:val="00DD4A28"/>
    <w:rsid w:val="00DE5425"/>
    <w:rsid w:val="00DF2A7B"/>
    <w:rsid w:val="00DF5B3C"/>
    <w:rsid w:val="00DF7EF7"/>
    <w:rsid w:val="00E035D4"/>
    <w:rsid w:val="00E14E80"/>
    <w:rsid w:val="00E40E4E"/>
    <w:rsid w:val="00E75641"/>
    <w:rsid w:val="00E808E6"/>
    <w:rsid w:val="00E854E1"/>
    <w:rsid w:val="00EA4B94"/>
    <w:rsid w:val="00EC452B"/>
    <w:rsid w:val="00EC66D7"/>
    <w:rsid w:val="00ED01C3"/>
    <w:rsid w:val="00EE2D8F"/>
    <w:rsid w:val="00EF1D77"/>
    <w:rsid w:val="00F42103"/>
    <w:rsid w:val="00F43801"/>
    <w:rsid w:val="00F76291"/>
    <w:rsid w:val="00F90109"/>
    <w:rsid w:val="00F93C41"/>
    <w:rsid w:val="00F96E0B"/>
    <w:rsid w:val="00FB2AD6"/>
    <w:rsid w:val="00FB6A6C"/>
    <w:rsid w:val="00FB73C5"/>
    <w:rsid w:val="00FC4E90"/>
    <w:rsid w:val="00FD4385"/>
    <w:rsid w:val="00FF341B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C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7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3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8FF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838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38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838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83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4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4F"/>
  </w:style>
  <w:style w:type="paragraph" w:styleId="Footer">
    <w:name w:val="footer"/>
    <w:basedOn w:val="Normal"/>
    <w:link w:val="FooterChar"/>
    <w:uiPriority w:val="99"/>
    <w:unhideWhenUsed/>
    <w:rsid w:val="0018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4F"/>
  </w:style>
  <w:style w:type="character" w:styleId="CommentReference">
    <w:name w:val="annotation reference"/>
    <w:basedOn w:val="DefaultParagraphFont"/>
    <w:uiPriority w:val="99"/>
    <w:semiHidden/>
    <w:unhideWhenUsed/>
    <w:rsid w:val="0018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7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3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8FF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A838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38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838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83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4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4F"/>
  </w:style>
  <w:style w:type="paragraph" w:styleId="Footer">
    <w:name w:val="footer"/>
    <w:basedOn w:val="Normal"/>
    <w:link w:val="FooterChar"/>
    <w:uiPriority w:val="99"/>
    <w:unhideWhenUsed/>
    <w:rsid w:val="0018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4F"/>
  </w:style>
  <w:style w:type="character" w:styleId="CommentReference">
    <w:name w:val="annotation reference"/>
    <w:basedOn w:val="DefaultParagraphFont"/>
    <w:uiPriority w:val="99"/>
    <w:semiHidden/>
    <w:unhideWhenUsed/>
    <w:rsid w:val="0018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8276-0AE5-43A9-AEE7-B74152BE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Mikulic</dc:creator>
  <cp:lastModifiedBy>Sandra Majsan</cp:lastModifiedBy>
  <cp:revision>2</cp:revision>
  <cp:lastPrinted>2022-08-03T09:44:00Z</cp:lastPrinted>
  <dcterms:created xsi:type="dcterms:W3CDTF">2025-02-24T13:52:00Z</dcterms:created>
  <dcterms:modified xsi:type="dcterms:W3CDTF">2025-02-24T13:52:00Z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68874cd83be9f922a82aeef420af66faf6ae54cbb7a08a850936005b10e035d5</vt:lpwstr>
  </property>
</Properties>
</file>