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3D73" w14:textId="77777777" w:rsidR="008E77F5" w:rsidRDefault="008E77F5" w:rsidP="008E77F5">
      <w:pPr>
        <w:jc w:val="center"/>
        <w:rPr>
          <w:b/>
        </w:rPr>
      </w:pPr>
    </w:p>
    <w:p w14:paraId="5F7D1674" w14:textId="77777777" w:rsidR="008E77F5" w:rsidRDefault="008E77F5" w:rsidP="008E77F5">
      <w:pPr>
        <w:jc w:val="center"/>
        <w:rPr>
          <w:b/>
        </w:rPr>
      </w:pPr>
    </w:p>
    <w:p w14:paraId="5CD34A63" w14:textId="77777777" w:rsidR="008E77F5" w:rsidRDefault="008E77F5" w:rsidP="008E77F5">
      <w:pPr>
        <w:jc w:val="center"/>
        <w:rPr>
          <w:b/>
        </w:rPr>
      </w:pPr>
    </w:p>
    <w:p w14:paraId="30D9A789" w14:textId="77777777" w:rsidR="008E77F5" w:rsidRDefault="008E77F5" w:rsidP="008E77F5">
      <w:pPr>
        <w:jc w:val="center"/>
        <w:rPr>
          <w:b/>
        </w:rPr>
      </w:pPr>
    </w:p>
    <w:p w14:paraId="28FCF801" w14:textId="77777777" w:rsidR="008E77F5" w:rsidRDefault="008E77F5" w:rsidP="008E77F5">
      <w:pPr>
        <w:jc w:val="center"/>
        <w:rPr>
          <w:b/>
        </w:rPr>
      </w:pPr>
    </w:p>
    <w:p w14:paraId="0BC311E9" w14:textId="77777777" w:rsidR="008E77F5" w:rsidRDefault="008E77F5" w:rsidP="008E77F5">
      <w:pPr>
        <w:jc w:val="center"/>
        <w:rPr>
          <w:b/>
        </w:rPr>
      </w:pPr>
    </w:p>
    <w:p w14:paraId="5592DF6D" w14:textId="77777777" w:rsidR="008E77F5" w:rsidRDefault="008E77F5" w:rsidP="008E77F5">
      <w:pPr>
        <w:jc w:val="center"/>
        <w:rPr>
          <w:b/>
        </w:rPr>
      </w:pPr>
    </w:p>
    <w:p w14:paraId="7E9232E2" w14:textId="77777777" w:rsidR="008E77F5" w:rsidRDefault="008E77F5" w:rsidP="008E77F5">
      <w:pPr>
        <w:jc w:val="center"/>
        <w:rPr>
          <w:b/>
        </w:rPr>
      </w:pPr>
    </w:p>
    <w:p w14:paraId="49B70395" w14:textId="77777777" w:rsidR="00F64121" w:rsidRDefault="00F64121" w:rsidP="008E77F5">
      <w:pPr>
        <w:jc w:val="center"/>
        <w:rPr>
          <w:b/>
        </w:rPr>
      </w:pPr>
    </w:p>
    <w:p w14:paraId="0D115229" w14:textId="77777777" w:rsidR="00F64121" w:rsidRDefault="00F64121" w:rsidP="008E77F5">
      <w:pPr>
        <w:jc w:val="center"/>
        <w:rPr>
          <w:b/>
        </w:rPr>
      </w:pPr>
    </w:p>
    <w:p w14:paraId="6C899900" w14:textId="77777777" w:rsidR="00F64121" w:rsidRDefault="00F64121" w:rsidP="008E77F5">
      <w:pPr>
        <w:jc w:val="center"/>
        <w:rPr>
          <w:b/>
        </w:rPr>
      </w:pPr>
    </w:p>
    <w:p w14:paraId="75BF9859" w14:textId="77777777" w:rsidR="00F64121" w:rsidRDefault="00F64121" w:rsidP="008E77F5">
      <w:pPr>
        <w:jc w:val="center"/>
        <w:rPr>
          <w:b/>
        </w:rPr>
      </w:pPr>
    </w:p>
    <w:p w14:paraId="52447834" w14:textId="77777777" w:rsidR="00F64121" w:rsidRDefault="00F64121" w:rsidP="008E77F5">
      <w:pPr>
        <w:jc w:val="center"/>
        <w:rPr>
          <w:b/>
        </w:rPr>
      </w:pPr>
    </w:p>
    <w:p w14:paraId="27C4560F" w14:textId="77777777" w:rsidR="00F64121" w:rsidRDefault="00F64121" w:rsidP="008E77F5">
      <w:pPr>
        <w:jc w:val="center"/>
        <w:rPr>
          <w:b/>
        </w:rPr>
      </w:pPr>
    </w:p>
    <w:p w14:paraId="322637E5" w14:textId="77777777" w:rsidR="00F64121" w:rsidRDefault="00F64121" w:rsidP="008E77F5">
      <w:pPr>
        <w:jc w:val="center"/>
        <w:rPr>
          <w:b/>
        </w:rPr>
      </w:pPr>
    </w:p>
    <w:p w14:paraId="7F3B19BD" w14:textId="77777777" w:rsidR="00F64121" w:rsidRDefault="00F64121" w:rsidP="008E77F5">
      <w:pPr>
        <w:jc w:val="center"/>
        <w:rPr>
          <w:b/>
        </w:rPr>
      </w:pPr>
    </w:p>
    <w:p w14:paraId="195767CA" w14:textId="77777777" w:rsidR="00F64121" w:rsidRDefault="00F64121" w:rsidP="008E77F5">
      <w:pPr>
        <w:jc w:val="center"/>
        <w:rPr>
          <w:b/>
        </w:rPr>
      </w:pPr>
    </w:p>
    <w:p w14:paraId="49357B3C" w14:textId="77777777" w:rsidR="00F64121" w:rsidRDefault="00F64121" w:rsidP="008E77F5">
      <w:pPr>
        <w:jc w:val="center"/>
        <w:rPr>
          <w:b/>
        </w:rPr>
      </w:pPr>
    </w:p>
    <w:p w14:paraId="6E6E6E7E" w14:textId="77777777" w:rsidR="008E77F5" w:rsidRDefault="008E77F5" w:rsidP="008F3C7E">
      <w:pPr>
        <w:rPr>
          <w:b/>
        </w:rPr>
      </w:pPr>
    </w:p>
    <w:p w14:paraId="1D91CE2A" w14:textId="77777777" w:rsidR="008E77F5" w:rsidRDefault="008E77F5" w:rsidP="008E77F5">
      <w:pPr>
        <w:jc w:val="center"/>
        <w:rPr>
          <w:b/>
        </w:rPr>
      </w:pPr>
    </w:p>
    <w:p w14:paraId="7D9ED46E" w14:textId="77777777" w:rsidR="008E77F5" w:rsidRDefault="008E77F5" w:rsidP="008E77F5">
      <w:pPr>
        <w:jc w:val="center"/>
        <w:rPr>
          <w:b/>
        </w:rPr>
      </w:pPr>
    </w:p>
    <w:p w14:paraId="5148827C" w14:textId="77777777" w:rsidR="008E77F5" w:rsidRDefault="008E77F5" w:rsidP="008E77F5">
      <w:pPr>
        <w:jc w:val="center"/>
        <w:rPr>
          <w:b/>
        </w:rPr>
      </w:pPr>
    </w:p>
    <w:p w14:paraId="65C2B912" w14:textId="77777777" w:rsidR="00EC1116" w:rsidRDefault="00EC1116" w:rsidP="008E77F5">
      <w:pPr>
        <w:jc w:val="center"/>
        <w:rPr>
          <w:b/>
        </w:rPr>
      </w:pPr>
    </w:p>
    <w:p w14:paraId="7A42C233" w14:textId="77777777" w:rsidR="00EC1116" w:rsidRDefault="00EC1116" w:rsidP="008E77F5">
      <w:pPr>
        <w:jc w:val="center"/>
        <w:rPr>
          <w:b/>
        </w:rPr>
      </w:pPr>
    </w:p>
    <w:p w14:paraId="6E21167C" w14:textId="77777777" w:rsidR="008E77F5" w:rsidRDefault="008E77F5" w:rsidP="008E77F5">
      <w:pPr>
        <w:jc w:val="center"/>
        <w:rPr>
          <w:b/>
        </w:rPr>
      </w:pPr>
    </w:p>
    <w:p w14:paraId="06688BE9" w14:textId="77777777" w:rsidR="00EC1116" w:rsidRDefault="00D936F9" w:rsidP="008E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POLUGODIŠNJI</w:t>
      </w:r>
      <w:r w:rsidR="008E77F5" w:rsidRPr="008E77F5">
        <w:rPr>
          <w:b/>
          <w:sz w:val="28"/>
          <w:szCs w:val="28"/>
        </w:rPr>
        <w:t xml:space="preserve"> IZVJEŠTAJ O IZVRŠENJU PRORAČUNA </w:t>
      </w:r>
    </w:p>
    <w:p w14:paraId="73CC1CAB" w14:textId="77777777" w:rsidR="004346E6" w:rsidRDefault="00122433" w:rsidP="008E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MEĐIMURSKE ŽUPANIJE </w:t>
      </w:r>
      <w:r w:rsidR="0062287E">
        <w:rPr>
          <w:b/>
          <w:sz w:val="28"/>
          <w:szCs w:val="28"/>
        </w:rPr>
        <w:t>ZA 202</w:t>
      </w:r>
      <w:r w:rsidR="00D936F9">
        <w:rPr>
          <w:b/>
          <w:sz w:val="28"/>
          <w:szCs w:val="28"/>
        </w:rPr>
        <w:t>3</w:t>
      </w:r>
      <w:r w:rsidR="00333A84">
        <w:rPr>
          <w:b/>
          <w:sz w:val="28"/>
          <w:szCs w:val="28"/>
        </w:rPr>
        <w:t>. GODINU</w:t>
      </w:r>
    </w:p>
    <w:p w14:paraId="7874C0B5" w14:textId="77777777" w:rsidR="00333A84" w:rsidRDefault="00333A84" w:rsidP="008E77F5">
      <w:pPr>
        <w:jc w:val="center"/>
        <w:rPr>
          <w:b/>
          <w:sz w:val="28"/>
          <w:szCs w:val="28"/>
        </w:rPr>
      </w:pPr>
    </w:p>
    <w:p w14:paraId="3211D1DF" w14:textId="77777777" w:rsidR="008E77F5" w:rsidRDefault="00333A84" w:rsidP="008E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14:paraId="70AD2410" w14:textId="77777777" w:rsidR="007A4540" w:rsidRPr="008E77F5" w:rsidRDefault="00410690" w:rsidP="008E7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 siječnja 202</w:t>
      </w:r>
      <w:r w:rsidR="00D936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– 3</w:t>
      </w:r>
      <w:r w:rsidR="00D936F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="00D936F9">
        <w:rPr>
          <w:b/>
          <w:sz w:val="28"/>
          <w:szCs w:val="28"/>
        </w:rPr>
        <w:t>lipnja</w:t>
      </w:r>
      <w:r w:rsidR="0062287E">
        <w:rPr>
          <w:b/>
          <w:sz w:val="28"/>
          <w:szCs w:val="28"/>
        </w:rPr>
        <w:t xml:space="preserve"> 202</w:t>
      </w:r>
      <w:r w:rsidR="00D936F9">
        <w:rPr>
          <w:b/>
          <w:sz w:val="28"/>
          <w:szCs w:val="28"/>
        </w:rPr>
        <w:t>3</w:t>
      </w:r>
      <w:r w:rsidR="0062287E">
        <w:rPr>
          <w:b/>
          <w:sz w:val="28"/>
          <w:szCs w:val="28"/>
        </w:rPr>
        <w:t>. godine</w:t>
      </w:r>
    </w:p>
    <w:p w14:paraId="3D4D61AA" w14:textId="77777777" w:rsidR="008E77F5" w:rsidRPr="008E77F5" w:rsidRDefault="008E77F5" w:rsidP="008E77F5">
      <w:pPr>
        <w:jc w:val="center"/>
        <w:rPr>
          <w:b/>
          <w:sz w:val="28"/>
          <w:szCs w:val="28"/>
        </w:rPr>
      </w:pPr>
    </w:p>
    <w:p w14:paraId="5CA8874E" w14:textId="77777777" w:rsidR="008E77F5" w:rsidRDefault="008E77F5" w:rsidP="008E77F5">
      <w:pPr>
        <w:jc w:val="center"/>
        <w:rPr>
          <w:b/>
        </w:rPr>
      </w:pPr>
    </w:p>
    <w:p w14:paraId="485B9F4A" w14:textId="77777777" w:rsidR="008E77F5" w:rsidRDefault="008E77F5" w:rsidP="008E77F5">
      <w:pPr>
        <w:jc w:val="center"/>
        <w:rPr>
          <w:b/>
        </w:rPr>
      </w:pPr>
    </w:p>
    <w:p w14:paraId="7DFABF8F" w14:textId="77777777" w:rsidR="008E77F5" w:rsidRDefault="008E77F5" w:rsidP="008E77F5">
      <w:pPr>
        <w:jc w:val="center"/>
        <w:rPr>
          <w:b/>
        </w:rPr>
      </w:pPr>
    </w:p>
    <w:p w14:paraId="1793BD73" w14:textId="77777777" w:rsidR="008E77F5" w:rsidRDefault="008E77F5" w:rsidP="008E77F5">
      <w:pPr>
        <w:jc w:val="center"/>
        <w:rPr>
          <w:b/>
        </w:rPr>
      </w:pPr>
    </w:p>
    <w:p w14:paraId="19D798DB" w14:textId="77777777" w:rsidR="008E77F5" w:rsidRDefault="008E77F5" w:rsidP="008E77F5">
      <w:pPr>
        <w:jc w:val="center"/>
        <w:rPr>
          <w:b/>
        </w:rPr>
      </w:pPr>
    </w:p>
    <w:p w14:paraId="7F0FC63F" w14:textId="77777777" w:rsidR="008E77F5" w:rsidRDefault="008E77F5" w:rsidP="008E77F5">
      <w:pPr>
        <w:jc w:val="center"/>
        <w:rPr>
          <w:b/>
        </w:rPr>
      </w:pPr>
    </w:p>
    <w:p w14:paraId="1B356409" w14:textId="77777777" w:rsidR="008E77F5" w:rsidRDefault="008E77F5" w:rsidP="008E77F5">
      <w:pPr>
        <w:jc w:val="center"/>
        <w:rPr>
          <w:b/>
        </w:rPr>
      </w:pPr>
    </w:p>
    <w:p w14:paraId="6A4B7E91" w14:textId="77777777" w:rsidR="008E77F5" w:rsidRDefault="008E77F5" w:rsidP="008E77F5">
      <w:pPr>
        <w:jc w:val="center"/>
        <w:rPr>
          <w:b/>
        </w:rPr>
      </w:pPr>
    </w:p>
    <w:p w14:paraId="6D435D96" w14:textId="77777777" w:rsidR="008E77F5" w:rsidRDefault="008E77F5" w:rsidP="008E77F5">
      <w:pPr>
        <w:jc w:val="center"/>
        <w:rPr>
          <w:b/>
        </w:rPr>
      </w:pPr>
    </w:p>
    <w:p w14:paraId="4C6A2652" w14:textId="77777777" w:rsidR="008E77F5" w:rsidRDefault="008E77F5" w:rsidP="008E77F5">
      <w:pPr>
        <w:jc w:val="center"/>
        <w:rPr>
          <w:b/>
        </w:rPr>
      </w:pPr>
    </w:p>
    <w:p w14:paraId="1F4D081C" w14:textId="77777777" w:rsidR="008E77F5" w:rsidRDefault="008E77F5" w:rsidP="008E77F5">
      <w:pPr>
        <w:jc w:val="center"/>
        <w:rPr>
          <w:b/>
        </w:rPr>
      </w:pPr>
    </w:p>
    <w:p w14:paraId="693CD85C" w14:textId="77777777" w:rsidR="008E77F5" w:rsidRDefault="008E77F5" w:rsidP="008E77F5">
      <w:pPr>
        <w:jc w:val="center"/>
        <w:rPr>
          <w:b/>
        </w:rPr>
      </w:pPr>
    </w:p>
    <w:p w14:paraId="5E45387B" w14:textId="77777777" w:rsidR="008E77F5" w:rsidRDefault="008E77F5" w:rsidP="008E77F5">
      <w:pPr>
        <w:jc w:val="center"/>
        <w:rPr>
          <w:b/>
        </w:rPr>
      </w:pPr>
    </w:p>
    <w:p w14:paraId="2094B894" w14:textId="77777777" w:rsidR="008E77F5" w:rsidRDefault="008E77F5" w:rsidP="008E77F5">
      <w:pPr>
        <w:jc w:val="center"/>
        <w:rPr>
          <w:b/>
        </w:rPr>
      </w:pPr>
    </w:p>
    <w:p w14:paraId="0479BCD8" w14:textId="77777777" w:rsidR="008E77F5" w:rsidRDefault="008E77F5" w:rsidP="008E77F5">
      <w:pPr>
        <w:jc w:val="center"/>
        <w:rPr>
          <w:b/>
        </w:rPr>
      </w:pPr>
    </w:p>
    <w:p w14:paraId="4D4E4AFD" w14:textId="77777777" w:rsidR="00174929" w:rsidRDefault="00174929" w:rsidP="008E77F5">
      <w:pPr>
        <w:jc w:val="center"/>
        <w:rPr>
          <w:b/>
        </w:rPr>
      </w:pPr>
    </w:p>
    <w:p w14:paraId="4F9F9F4E" w14:textId="77777777" w:rsidR="00174929" w:rsidRDefault="00174929" w:rsidP="008E77F5">
      <w:pPr>
        <w:jc w:val="center"/>
        <w:rPr>
          <w:b/>
        </w:rPr>
      </w:pPr>
    </w:p>
    <w:p w14:paraId="39AF538B" w14:textId="77777777" w:rsidR="00174929" w:rsidRDefault="00174929" w:rsidP="008E77F5">
      <w:pPr>
        <w:jc w:val="center"/>
        <w:rPr>
          <w:b/>
        </w:rPr>
      </w:pPr>
    </w:p>
    <w:p w14:paraId="1624DE08" w14:textId="77777777" w:rsidR="008E77F5" w:rsidRDefault="008E77F5" w:rsidP="008E77F5">
      <w:pPr>
        <w:jc w:val="center"/>
      </w:pPr>
    </w:p>
    <w:p w14:paraId="1F6686EA" w14:textId="77777777" w:rsidR="008E77F5" w:rsidRDefault="008E77F5" w:rsidP="008E77F5">
      <w:pPr>
        <w:jc w:val="center"/>
      </w:pPr>
    </w:p>
    <w:p w14:paraId="3B5286B7" w14:textId="77777777" w:rsidR="0022605E" w:rsidRPr="008E77F5" w:rsidRDefault="0062287E" w:rsidP="008E77F5">
      <w:pPr>
        <w:jc w:val="center"/>
        <w:rPr>
          <w:b/>
        </w:rPr>
      </w:pPr>
      <w:r>
        <w:t>Čakovec</w:t>
      </w:r>
      <w:r w:rsidR="00B266B3">
        <w:t xml:space="preserve">, </w:t>
      </w:r>
      <w:r w:rsidR="00D936F9">
        <w:t>rujan</w:t>
      </w:r>
      <w:r w:rsidR="00410690">
        <w:t xml:space="preserve"> </w:t>
      </w:r>
      <w:r w:rsidR="008E77F5" w:rsidRPr="008E77F5">
        <w:t>202</w:t>
      </w:r>
      <w:r w:rsidR="0016248E">
        <w:t>3</w:t>
      </w:r>
      <w:r w:rsidR="008E77F5" w:rsidRPr="008E77F5">
        <w:t>.</w:t>
      </w:r>
      <w:r w:rsidR="008E77F5">
        <w:rPr>
          <w:b/>
        </w:rPr>
        <w:br w:type="page"/>
      </w:r>
    </w:p>
    <w:p w14:paraId="6806EDCC" w14:textId="77777777" w:rsidR="00066E01" w:rsidRDefault="00066E01" w:rsidP="00066E01">
      <w:pPr>
        <w:pStyle w:val="Odlomakpopisa"/>
        <w:ind w:left="1065"/>
        <w:jc w:val="both"/>
        <w:rPr>
          <w:b/>
          <w:noProof/>
        </w:rPr>
      </w:pPr>
    </w:p>
    <w:p w14:paraId="6CDDAAB6" w14:textId="77777777" w:rsidR="008C65AE" w:rsidRDefault="00423952" w:rsidP="008C65AE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 w:rsidRPr="00423952">
        <w:rPr>
          <w:b/>
          <w:noProof/>
        </w:rPr>
        <w:t>UVODNI DIO</w:t>
      </w:r>
    </w:p>
    <w:p w14:paraId="0EEAEEC6" w14:textId="77777777" w:rsidR="000B7C91" w:rsidRDefault="000B7C91" w:rsidP="000B7C91">
      <w:pPr>
        <w:pStyle w:val="Odlomakpopisa"/>
        <w:ind w:left="284"/>
        <w:jc w:val="both"/>
        <w:rPr>
          <w:noProof/>
        </w:rPr>
      </w:pPr>
    </w:p>
    <w:p w14:paraId="65D6CFB5" w14:textId="77777777" w:rsidR="00761C81" w:rsidRDefault="00761C81" w:rsidP="000B7C91">
      <w:pPr>
        <w:pStyle w:val="Odlomakpopisa"/>
        <w:ind w:left="284"/>
        <w:jc w:val="both"/>
        <w:rPr>
          <w:noProof/>
        </w:rPr>
      </w:pPr>
      <w:r>
        <w:rPr>
          <w:noProof/>
        </w:rPr>
        <w:tab/>
      </w:r>
      <w:r w:rsidR="000B7C91">
        <w:rPr>
          <w:noProof/>
        </w:rPr>
        <w:t xml:space="preserve">Obveza sastavljanja </w:t>
      </w:r>
      <w:r w:rsidR="00D936F9">
        <w:rPr>
          <w:noProof/>
        </w:rPr>
        <w:t>polu</w:t>
      </w:r>
      <w:r w:rsidR="000B7C91">
        <w:rPr>
          <w:noProof/>
        </w:rPr>
        <w:t>godišnjeg</w:t>
      </w:r>
      <w:r w:rsidR="0062287E">
        <w:rPr>
          <w:noProof/>
        </w:rPr>
        <w:t xml:space="preserve"> </w:t>
      </w:r>
      <w:r w:rsidR="000B7C91">
        <w:rPr>
          <w:noProof/>
        </w:rPr>
        <w:t>izvještaja o izvršenju proračuna te njegovo podnošenje predstavničkom tijelu i donošenje od strane predstavničkog tijela jedinice lokalne i područne (regionalne) samouprave</w:t>
      </w:r>
      <w:r w:rsidR="000B7C91" w:rsidRPr="00423952">
        <w:rPr>
          <w:noProof/>
        </w:rPr>
        <w:t xml:space="preserve"> </w:t>
      </w:r>
      <w:r w:rsidR="000B7C91">
        <w:rPr>
          <w:noProof/>
        </w:rPr>
        <w:t xml:space="preserve">propisana je odredbama </w:t>
      </w:r>
      <w:r w:rsidR="00410690">
        <w:rPr>
          <w:noProof/>
        </w:rPr>
        <w:t>čl. 8</w:t>
      </w:r>
      <w:r w:rsidR="00D936F9">
        <w:rPr>
          <w:noProof/>
        </w:rPr>
        <w:t>8</w:t>
      </w:r>
      <w:r w:rsidR="00410690">
        <w:rPr>
          <w:noProof/>
        </w:rPr>
        <w:t xml:space="preserve">. </w:t>
      </w:r>
      <w:r w:rsidR="000B7C91">
        <w:rPr>
          <w:noProof/>
        </w:rPr>
        <w:t xml:space="preserve">Zakona o proračunu („Narodne novine“ broj </w:t>
      </w:r>
      <w:r w:rsidR="00393B9D">
        <w:rPr>
          <w:noProof/>
        </w:rPr>
        <w:t>144/21</w:t>
      </w:r>
      <w:r w:rsidR="00D936F9">
        <w:rPr>
          <w:noProof/>
        </w:rPr>
        <w:t>)</w:t>
      </w:r>
      <w:r w:rsidR="00844049">
        <w:rPr>
          <w:noProof/>
        </w:rPr>
        <w:t>.</w:t>
      </w:r>
    </w:p>
    <w:p w14:paraId="7CEB5247" w14:textId="77777777" w:rsidR="000B7C91" w:rsidRDefault="000B7C91" w:rsidP="000B7C91">
      <w:pPr>
        <w:pStyle w:val="Odlomakpopisa"/>
        <w:ind w:left="284"/>
        <w:jc w:val="both"/>
        <w:rPr>
          <w:noProof/>
        </w:rPr>
      </w:pPr>
      <w:r>
        <w:rPr>
          <w:noProof/>
        </w:rPr>
        <w:t xml:space="preserve">Sadržaj </w:t>
      </w:r>
      <w:r w:rsidR="0062287E">
        <w:rPr>
          <w:noProof/>
        </w:rPr>
        <w:t xml:space="preserve">polugodišnjeg i </w:t>
      </w:r>
      <w:r>
        <w:rPr>
          <w:noProof/>
        </w:rPr>
        <w:t>godišnjeg izvještaja o p</w:t>
      </w:r>
      <w:r w:rsidR="00393B9D">
        <w:rPr>
          <w:noProof/>
        </w:rPr>
        <w:t xml:space="preserve">roračunu definiran je člankom </w:t>
      </w:r>
      <w:r w:rsidR="00844049">
        <w:rPr>
          <w:noProof/>
        </w:rPr>
        <w:t>76</w:t>
      </w:r>
      <w:r>
        <w:rPr>
          <w:noProof/>
        </w:rPr>
        <w:t>. Zakona o proračunu</w:t>
      </w:r>
      <w:r w:rsidR="00410690">
        <w:rPr>
          <w:noProof/>
        </w:rPr>
        <w:t xml:space="preserve"> (Narodne novine br. </w:t>
      </w:r>
      <w:r w:rsidR="006A4B43">
        <w:rPr>
          <w:noProof/>
        </w:rPr>
        <w:t>144/21</w:t>
      </w:r>
      <w:r w:rsidR="00410690">
        <w:rPr>
          <w:noProof/>
        </w:rPr>
        <w:t>)</w:t>
      </w:r>
      <w:r>
        <w:rPr>
          <w:noProof/>
        </w:rPr>
        <w:t xml:space="preserve"> i člankom 4. Pravilnika o polugodišnjem i godišnjem izvještaju o izvršenju proračuna</w:t>
      </w:r>
      <w:r w:rsidR="00410690">
        <w:rPr>
          <w:noProof/>
        </w:rPr>
        <w:t xml:space="preserve"> </w:t>
      </w:r>
      <w:r w:rsidR="00844049">
        <w:rPr>
          <w:noProof/>
        </w:rPr>
        <w:t xml:space="preserve">(„Narodne novine“ broj 85/23) </w:t>
      </w:r>
      <w:r w:rsidR="00410690">
        <w:rPr>
          <w:noProof/>
        </w:rPr>
        <w:t>te</w:t>
      </w:r>
      <w:r>
        <w:rPr>
          <w:noProof/>
        </w:rPr>
        <w:t xml:space="preserve"> sadrži</w:t>
      </w:r>
      <w:r w:rsidR="00844049">
        <w:rPr>
          <w:noProof/>
        </w:rPr>
        <w:t>:</w:t>
      </w:r>
    </w:p>
    <w:p w14:paraId="6AC073D6" w14:textId="77777777" w:rsidR="000B7C91" w:rsidRDefault="000B7C91" w:rsidP="000B7C91">
      <w:pPr>
        <w:pStyle w:val="Odlomakpopisa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opći dio proračuna sastavljen od Računa prihoda i rashoda i Računa financiranja na razini odjeljka ekonomske klasifikacije,</w:t>
      </w:r>
    </w:p>
    <w:p w14:paraId="7428D74B" w14:textId="77777777" w:rsidR="000B7C91" w:rsidRDefault="000B7C91" w:rsidP="000B7C91">
      <w:pPr>
        <w:pStyle w:val="Odlomakpopisa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posebni dio proračuna po organizacijskoj i programskoj klasifikaciji te </w:t>
      </w:r>
      <w:r w:rsidRPr="00700B2A">
        <w:rPr>
          <w:noProof/>
        </w:rPr>
        <w:t>razini odjeljka ekonomske klasifikacije</w:t>
      </w:r>
    </w:p>
    <w:p w14:paraId="5DD8506E" w14:textId="77777777" w:rsidR="0062287E" w:rsidRDefault="0062287E" w:rsidP="0062287E">
      <w:pPr>
        <w:pStyle w:val="Odlomakpopisa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izvještaj o zaduživanju na domaćem i stranom tržištu novca i kapitala,</w:t>
      </w:r>
    </w:p>
    <w:p w14:paraId="4E927349" w14:textId="77777777" w:rsidR="0062287E" w:rsidRDefault="0062287E" w:rsidP="0062287E">
      <w:pPr>
        <w:pStyle w:val="Odlomakpopisa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izvještaj o korištenju proračunske zalihe,</w:t>
      </w:r>
    </w:p>
    <w:p w14:paraId="635DA3DD" w14:textId="77777777" w:rsidR="0062287E" w:rsidRDefault="0062287E" w:rsidP="0062287E">
      <w:pPr>
        <w:pStyle w:val="Odlomakpopisa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 xml:space="preserve">izvještaj o danim jamstvima i </w:t>
      </w:r>
      <w:r w:rsidR="00844049">
        <w:rPr>
          <w:noProof/>
        </w:rPr>
        <w:t>plaćanjima po protestiranim</w:t>
      </w:r>
      <w:r>
        <w:rPr>
          <w:noProof/>
        </w:rPr>
        <w:t xml:space="preserve"> jamstvima,</w:t>
      </w:r>
    </w:p>
    <w:p w14:paraId="1A644827" w14:textId="77777777" w:rsidR="00E122E7" w:rsidRDefault="00E122E7" w:rsidP="00E122E7">
      <w:pPr>
        <w:pStyle w:val="Odlomakpopisa"/>
        <w:numPr>
          <w:ilvl w:val="0"/>
          <w:numId w:val="3"/>
        </w:numPr>
        <w:jc w:val="both"/>
        <w:rPr>
          <w:noProof/>
        </w:rPr>
      </w:pPr>
      <w:r>
        <w:rPr>
          <w:noProof/>
        </w:rPr>
        <w:t>obrazloženje ostvarenih prihoda i primitaka te rashoda i izdataka</w:t>
      </w:r>
    </w:p>
    <w:p w14:paraId="1430C51B" w14:textId="77777777" w:rsidR="000B7C91" w:rsidRDefault="000B7C91" w:rsidP="000B7C91">
      <w:pPr>
        <w:pStyle w:val="Odlomakpopisa"/>
        <w:ind w:left="1065"/>
        <w:jc w:val="both"/>
        <w:rPr>
          <w:b/>
          <w:noProof/>
        </w:rPr>
      </w:pPr>
    </w:p>
    <w:p w14:paraId="2E06547B" w14:textId="77777777" w:rsidR="000B7C91" w:rsidRPr="008C65AE" w:rsidRDefault="000B7C91" w:rsidP="008C65AE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t>OPĆI DIO PRORAČUNA</w:t>
      </w:r>
    </w:p>
    <w:p w14:paraId="43E3CAF3" w14:textId="77777777" w:rsidR="00003734" w:rsidRDefault="00003734" w:rsidP="00003734">
      <w:pPr>
        <w:pStyle w:val="Odlomakpopisa"/>
        <w:ind w:left="284"/>
        <w:jc w:val="both"/>
        <w:rPr>
          <w:noProof/>
        </w:rPr>
      </w:pPr>
    </w:p>
    <w:p w14:paraId="14EDA512" w14:textId="77777777" w:rsidR="008C65AE" w:rsidRDefault="00003734" w:rsidP="00003734">
      <w:pPr>
        <w:pStyle w:val="Odlomakpopisa"/>
        <w:ind w:left="284"/>
        <w:jc w:val="both"/>
        <w:rPr>
          <w:noProof/>
        </w:rPr>
      </w:pPr>
      <w:r>
        <w:rPr>
          <w:noProof/>
        </w:rPr>
        <w:t>Proračun za 202</w:t>
      </w:r>
      <w:r w:rsidR="00844049">
        <w:rPr>
          <w:noProof/>
        </w:rPr>
        <w:t>3</w:t>
      </w:r>
      <w:r>
        <w:rPr>
          <w:noProof/>
        </w:rPr>
        <w:t>. godinu i projekcije za 202</w:t>
      </w:r>
      <w:r w:rsidR="00844049">
        <w:rPr>
          <w:noProof/>
        </w:rPr>
        <w:t>4</w:t>
      </w:r>
      <w:r>
        <w:rPr>
          <w:noProof/>
        </w:rPr>
        <w:t>. i 202</w:t>
      </w:r>
      <w:r w:rsidR="00844049">
        <w:rPr>
          <w:noProof/>
        </w:rPr>
        <w:t>5</w:t>
      </w:r>
      <w:r>
        <w:rPr>
          <w:noProof/>
        </w:rPr>
        <w:t xml:space="preserve">. godinu donijela je Skupština Međimurske županije na </w:t>
      </w:r>
      <w:r w:rsidR="00F02909">
        <w:rPr>
          <w:noProof/>
        </w:rPr>
        <w:t>10</w:t>
      </w:r>
      <w:r>
        <w:rPr>
          <w:noProof/>
        </w:rPr>
        <w:t>. sjednici održanoj 1</w:t>
      </w:r>
      <w:r w:rsidR="00F02909">
        <w:rPr>
          <w:noProof/>
        </w:rPr>
        <w:t>5</w:t>
      </w:r>
      <w:r>
        <w:rPr>
          <w:noProof/>
        </w:rPr>
        <w:t>. prosinca 202</w:t>
      </w:r>
      <w:r w:rsidR="00F02909">
        <w:rPr>
          <w:noProof/>
        </w:rPr>
        <w:t>2</w:t>
      </w:r>
      <w:r>
        <w:rPr>
          <w:noProof/>
        </w:rPr>
        <w:t xml:space="preserve">. godine u ukupnom iznosu od </w:t>
      </w:r>
      <w:r w:rsidR="00F02909">
        <w:rPr>
          <w:noProof/>
        </w:rPr>
        <w:t>121.210.396,00</w:t>
      </w:r>
      <w:r w:rsidR="009C1E62">
        <w:rPr>
          <w:noProof/>
        </w:rPr>
        <w:t xml:space="preserve"> </w:t>
      </w:r>
      <w:r w:rsidR="00F02909">
        <w:rPr>
          <w:noProof/>
        </w:rPr>
        <w:t>eura</w:t>
      </w:r>
      <w:r>
        <w:rPr>
          <w:noProof/>
        </w:rPr>
        <w:t xml:space="preserve"> za 202</w:t>
      </w:r>
      <w:r w:rsidR="00F02909">
        <w:rPr>
          <w:noProof/>
        </w:rPr>
        <w:t>3</w:t>
      </w:r>
      <w:r>
        <w:rPr>
          <w:noProof/>
        </w:rPr>
        <w:t xml:space="preserve">. godinu. </w:t>
      </w:r>
      <w:r w:rsidR="00F02909">
        <w:rPr>
          <w:noProof/>
        </w:rPr>
        <w:t xml:space="preserve">Opći dio ovog Izvještaja o izvršenju sadrži izvorni plan budući da od donošenja proračuna nije bilo izmjena i dopuna proračuna niti izvršenih preraspodjela. </w:t>
      </w:r>
      <w:r w:rsidR="00BC1AA5">
        <w:rPr>
          <w:noProof/>
        </w:rPr>
        <w:t>Sukladno pror</w:t>
      </w:r>
      <w:r w:rsidR="0038395B">
        <w:rPr>
          <w:noProof/>
        </w:rPr>
        <w:t xml:space="preserve">ačunskim propisima, Izvještaj </w:t>
      </w:r>
      <w:r w:rsidR="00BC1AA5">
        <w:rPr>
          <w:noProof/>
        </w:rPr>
        <w:t>o</w:t>
      </w:r>
      <w:r w:rsidR="000B304A">
        <w:rPr>
          <w:noProof/>
        </w:rPr>
        <w:t xml:space="preserve"> </w:t>
      </w:r>
      <w:r w:rsidR="00BC1AA5">
        <w:rPr>
          <w:noProof/>
        </w:rPr>
        <w:t xml:space="preserve">izvršenju sadrži sve prihode i rashode </w:t>
      </w:r>
      <w:r w:rsidR="00310B86">
        <w:rPr>
          <w:noProof/>
        </w:rPr>
        <w:t xml:space="preserve">Međimurske županije i njenih </w:t>
      </w:r>
      <w:r w:rsidR="00BC1AA5">
        <w:rPr>
          <w:noProof/>
        </w:rPr>
        <w:t>proračunskih korisnika.</w:t>
      </w:r>
    </w:p>
    <w:p w14:paraId="7BE26061" w14:textId="77777777" w:rsidR="00003734" w:rsidRDefault="00003734" w:rsidP="002319F5">
      <w:pPr>
        <w:pStyle w:val="Odlomakpopisa"/>
        <w:ind w:left="284"/>
        <w:jc w:val="both"/>
        <w:rPr>
          <w:noProof/>
        </w:rPr>
      </w:pPr>
      <w:r w:rsidRPr="006D4800">
        <w:rPr>
          <w:noProof/>
        </w:rPr>
        <w:t xml:space="preserve">U nastavku slijedi sažetak A. Računa prihoda i rashoda i </w:t>
      </w:r>
      <w:r w:rsidR="002319F5" w:rsidRPr="006D4800">
        <w:rPr>
          <w:noProof/>
        </w:rPr>
        <w:t>B. Računa financiranja na razini razreda</w:t>
      </w:r>
      <w:r w:rsidR="00BC1AA5" w:rsidRPr="006D4800">
        <w:rPr>
          <w:noProof/>
        </w:rPr>
        <w:t xml:space="preserve"> ekonomske klasifikacije za </w:t>
      </w:r>
      <w:r w:rsidR="00F02909">
        <w:rPr>
          <w:noProof/>
        </w:rPr>
        <w:t>polu</w:t>
      </w:r>
      <w:r w:rsidR="002319F5" w:rsidRPr="006D4800">
        <w:rPr>
          <w:noProof/>
        </w:rPr>
        <w:t>godišnje razdoblje 202</w:t>
      </w:r>
      <w:r w:rsidR="00F02909">
        <w:rPr>
          <w:noProof/>
        </w:rPr>
        <w:t>3</w:t>
      </w:r>
      <w:r w:rsidR="002319F5" w:rsidRPr="006D4800">
        <w:rPr>
          <w:noProof/>
        </w:rPr>
        <w:t>. godine:</w:t>
      </w:r>
    </w:p>
    <w:p w14:paraId="369855F6" w14:textId="01448E87" w:rsidR="006D4800" w:rsidRDefault="002B0DA1" w:rsidP="002319F5">
      <w:pPr>
        <w:pStyle w:val="Odlomakpopisa"/>
        <w:ind w:left="284"/>
        <w:jc w:val="both"/>
        <w:rPr>
          <w:noProof/>
        </w:rPr>
      </w:pPr>
      <w:r>
        <w:rPr>
          <w:noProof/>
        </w:rPr>
        <w:drawing>
          <wp:inline distT="0" distB="0" distL="0" distR="0" wp14:anchorId="3E1C777B" wp14:editId="2AE18E5D">
            <wp:extent cx="6119495" cy="2421890"/>
            <wp:effectExtent l="0" t="0" r="0" b="0"/>
            <wp:docPr id="187285993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85993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6876D" w14:textId="2A1F62C6" w:rsidR="006D4800" w:rsidRDefault="006D4800" w:rsidP="002319F5">
      <w:pPr>
        <w:pStyle w:val="Odlomakpopisa"/>
        <w:ind w:left="284"/>
        <w:jc w:val="both"/>
        <w:rPr>
          <w:noProof/>
        </w:rPr>
      </w:pPr>
    </w:p>
    <w:p w14:paraId="4BC06F37" w14:textId="5A79217D" w:rsidR="002270B0" w:rsidRPr="00EF10A6" w:rsidRDefault="002270B0" w:rsidP="002270B0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  <w:r w:rsidRPr="00EF10A6">
        <w:rPr>
          <w:b/>
          <w:sz w:val="22"/>
          <w:szCs w:val="22"/>
        </w:rPr>
        <w:t>Prihodi poslovanja</w:t>
      </w:r>
      <w:r w:rsidRPr="00EF10A6">
        <w:rPr>
          <w:sz w:val="22"/>
          <w:szCs w:val="22"/>
        </w:rPr>
        <w:t xml:space="preserve"> iznose </w:t>
      </w:r>
      <w:r w:rsidR="00F02909" w:rsidRPr="00EF10A6">
        <w:rPr>
          <w:sz w:val="22"/>
          <w:szCs w:val="22"/>
        </w:rPr>
        <w:t>58.879.563,10 eura</w:t>
      </w:r>
      <w:r w:rsidRPr="00EF10A6">
        <w:rPr>
          <w:sz w:val="22"/>
          <w:szCs w:val="22"/>
        </w:rPr>
        <w:t xml:space="preserve"> i predstavljaju </w:t>
      </w:r>
      <w:r w:rsidR="00F02909" w:rsidRPr="00EF10A6">
        <w:rPr>
          <w:sz w:val="22"/>
          <w:szCs w:val="22"/>
        </w:rPr>
        <w:t>48,95%</w:t>
      </w:r>
      <w:r w:rsidRPr="00EF10A6">
        <w:rPr>
          <w:sz w:val="22"/>
          <w:szCs w:val="22"/>
        </w:rPr>
        <w:t xml:space="preserve"> ostvarenog plana, a veći su u odnosu na prethodnu godinu za </w:t>
      </w:r>
      <w:r w:rsidR="00453481">
        <w:rPr>
          <w:sz w:val="22"/>
          <w:szCs w:val="22"/>
        </w:rPr>
        <w:t>9</w:t>
      </w:r>
      <w:r w:rsidR="00EF10A6" w:rsidRPr="00EF10A6">
        <w:rPr>
          <w:sz w:val="22"/>
          <w:szCs w:val="22"/>
        </w:rPr>
        <w:t>,</w:t>
      </w:r>
      <w:r w:rsidR="00453481">
        <w:rPr>
          <w:sz w:val="22"/>
          <w:szCs w:val="22"/>
        </w:rPr>
        <w:t>07</w:t>
      </w:r>
      <w:r w:rsidR="006D4800" w:rsidRPr="00EF10A6">
        <w:rPr>
          <w:sz w:val="22"/>
          <w:szCs w:val="22"/>
        </w:rPr>
        <w:t>%</w:t>
      </w:r>
      <w:r w:rsidR="00136BD6" w:rsidRPr="00EF10A6">
        <w:rPr>
          <w:sz w:val="22"/>
          <w:szCs w:val="22"/>
        </w:rPr>
        <w:t>.</w:t>
      </w:r>
      <w:r w:rsidRPr="00EF10A6">
        <w:rPr>
          <w:sz w:val="22"/>
          <w:szCs w:val="22"/>
        </w:rPr>
        <w:t xml:space="preserve"> Prihodi od </w:t>
      </w:r>
      <w:r w:rsidR="006D4800" w:rsidRPr="00EF10A6">
        <w:rPr>
          <w:sz w:val="22"/>
          <w:szCs w:val="22"/>
        </w:rPr>
        <w:t xml:space="preserve">prodaje </w:t>
      </w:r>
      <w:r w:rsidRPr="00EF10A6">
        <w:rPr>
          <w:sz w:val="22"/>
          <w:szCs w:val="22"/>
        </w:rPr>
        <w:t xml:space="preserve">nefinancijske imovine iznose </w:t>
      </w:r>
      <w:r w:rsidR="00F02909" w:rsidRPr="00EF10A6">
        <w:rPr>
          <w:sz w:val="22"/>
          <w:szCs w:val="22"/>
        </w:rPr>
        <w:t>62.667,27 eura</w:t>
      </w:r>
      <w:r w:rsidRPr="00EF10A6">
        <w:rPr>
          <w:sz w:val="22"/>
          <w:szCs w:val="22"/>
        </w:rPr>
        <w:t xml:space="preserve"> i ostvareni su </w:t>
      </w:r>
      <w:r w:rsidR="00F02909" w:rsidRPr="00EF10A6">
        <w:rPr>
          <w:sz w:val="22"/>
          <w:szCs w:val="22"/>
        </w:rPr>
        <w:t>2,97%</w:t>
      </w:r>
      <w:r w:rsidRPr="00EF10A6">
        <w:rPr>
          <w:sz w:val="22"/>
          <w:szCs w:val="22"/>
        </w:rPr>
        <w:t xml:space="preserve"> u odnosu na plan, </w:t>
      </w:r>
      <w:r w:rsidR="00EF10A6" w:rsidRPr="00EF10A6">
        <w:rPr>
          <w:sz w:val="22"/>
          <w:szCs w:val="22"/>
        </w:rPr>
        <w:t>i 5,31</w:t>
      </w:r>
      <w:r w:rsidR="006D4800" w:rsidRPr="00EF10A6">
        <w:rPr>
          <w:sz w:val="22"/>
          <w:szCs w:val="22"/>
        </w:rPr>
        <w:t>%</w:t>
      </w:r>
      <w:r w:rsidRPr="00EF10A6">
        <w:rPr>
          <w:sz w:val="22"/>
          <w:szCs w:val="22"/>
        </w:rPr>
        <w:t xml:space="preserve"> u odnosu na prethodnu godinu (kapitalizacija imovine).  </w:t>
      </w:r>
      <w:r w:rsidRPr="00EF10A6">
        <w:rPr>
          <w:b/>
          <w:sz w:val="22"/>
          <w:szCs w:val="22"/>
        </w:rPr>
        <w:t>Primici</w:t>
      </w:r>
      <w:r w:rsidRPr="00EF10A6">
        <w:rPr>
          <w:sz w:val="22"/>
          <w:szCs w:val="22"/>
        </w:rPr>
        <w:t xml:space="preserve"> su ostvareni u visini od </w:t>
      </w:r>
      <w:r w:rsidR="00391618" w:rsidRPr="00EF10A6">
        <w:rPr>
          <w:sz w:val="22"/>
          <w:szCs w:val="22"/>
        </w:rPr>
        <w:t>13.837,45 eura</w:t>
      </w:r>
      <w:r w:rsidRPr="00EF10A6">
        <w:rPr>
          <w:sz w:val="22"/>
          <w:szCs w:val="22"/>
        </w:rPr>
        <w:t xml:space="preserve">, </w:t>
      </w:r>
      <w:r w:rsidR="00391618" w:rsidRPr="00EF10A6">
        <w:rPr>
          <w:sz w:val="22"/>
          <w:szCs w:val="22"/>
        </w:rPr>
        <w:t>0,46</w:t>
      </w:r>
      <w:r w:rsidRPr="00EF10A6">
        <w:rPr>
          <w:sz w:val="22"/>
          <w:szCs w:val="22"/>
        </w:rPr>
        <w:t xml:space="preserve">% u odnosu na izvorni plan. Ukupno prihodi i primici konsolidiranog proračuna stoga iznose </w:t>
      </w:r>
      <w:r w:rsidR="00391618" w:rsidRPr="00EF10A6">
        <w:rPr>
          <w:b/>
          <w:sz w:val="22"/>
          <w:szCs w:val="22"/>
        </w:rPr>
        <w:t>58.956.067,82</w:t>
      </w:r>
      <w:r w:rsidRPr="00EF10A6">
        <w:rPr>
          <w:sz w:val="22"/>
          <w:szCs w:val="22"/>
        </w:rPr>
        <w:t xml:space="preserve"> </w:t>
      </w:r>
      <w:r w:rsidR="00391618" w:rsidRPr="00EF10A6">
        <w:rPr>
          <w:sz w:val="22"/>
          <w:szCs w:val="22"/>
        </w:rPr>
        <w:t>eura</w:t>
      </w:r>
      <w:r w:rsidRPr="00EF10A6">
        <w:rPr>
          <w:sz w:val="22"/>
          <w:szCs w:val="22"/>
        </w:rPr>
        <w:t>.</w:t>
      </w:r>
    </w:p>
    <w:p w14:paraId="30777250" w14:textId="77777777" w:rsidR="002270B0" w:rsidRPr="00EF10A6" w:rsidRDefault="002270B0" w:rsidP="002270B0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  <w:r w:rsidRPr="00EF10A6">
        <w:rPr>
          <w:b/>
          <w:sz w:val="22"/>
          <w:szCs w:val="22"/>
        </w:rPr>
        <w:t>Rashodi poslovanja</w:t>
      </w:r>
      <w:r w:rsidRPr="00EF10A6">
        <w:rPr>
          <w:sz w:val="22"/>
          <w:szCs w:val="22"/>
        </w:rPr>
        <w:t xml:space="preserve"> iznose</w:t>
      </w:r>
      <w:r w:rsidR="00391618" w:rsidRPr="00EF10A6">
        <w:rPr>
          <w:sz w:val="22"/>
          <w:szCs w:val="22"/>
        </w:rPr>
        <w:t xml:space="preserve"> 55.546.551,46 eura</w:t>
      </w:r>
      <w:r w:rsidRPr="00EF10A6">
        <w:rPr>
          <w:sz w:val="22"/>
          <w:szCs w:val="22"/>
        </w:rPr>
        <w:t xml:space="preserve">, </w:t>
      </w:r>
      <w:r w:rsidR="00391618" w:rsidRPr="00EF10A6">
        <w:rPr>
          <w:sz w:val="22"/>
          <w:szCs w:val="22"/>
        </w:rPr>
        <w:t>51,89%</w:t>
      </w:r>
      <w:r w:rsidRPr="00EF10A6">
        <w:rPr>
          <w:sz w:val="22"/>
          <w:szCs w:val="22"/>
        </w:rPr>
        <w:t xml:space="preserve"> u odnosu na plan, a </w:t>
      </w:r>
      <w:r w:rsidR="00EF10A6" w:rsidRPr="00EF10A6">
        <w:rPr>
          <w:sz w:val="22"/>
          <w:szCs w:val="22"/>
        </w:rPr>
        <w:t>10,48</w:t>
      </w:r>
      <w:r w:rsidRPr="00EF10A6">
        <w:rPr>
          <w:sz w:val="22"/>
          <w:szCs w:val="22"/>
        </w:rPr>
        <w:t xml:space="preserve">% su veći u odnosu na prethodnu godinu. Rashodi za nabavu nefinancijske imovine iznose </w:t>
      </w:r>
      <w:r w:rsidR="00391618" w:rsidRPr="00EF10A6">
        <w:rPr>
          <w:sz w:val="22"/>
          <w:szCs w:val="22"/>
        </w:rPr>
        <w:t>6.330.016,57 eura, što je 61,31%</w:t>
      </w:r>
      <w:r w:rsidRPr="00EF10A6">
        <w:rPr>
          <w:sz w:val="22"/>
          <w:szCs w:val="22"/>
        </w:rPr>
        <w:t xml:space="preserve"> u odnosu na plan</w:t>
      </w:r>
      <w:r w:rsidR="0060140D" w:rsidRPr="00EF10A6">
        <w:rPr>
          <w:sz w:val="22"/>
          <w:szCs w:val="22"/>
        </w:rPr>
        <w:t xml:space="preserve">, a veći za </w:t>
      </w:r>
      <w:r w:rsidR="00EF10A6" w:rsidRPr="00EF10A6">
        <w:rPr>
          <w:sz w:val="22"/>
          <w:szCs w:val="22"/>
        </w:rPr>
        <w:t>94,66</w:t>
      </w:r>
      <w:r w:rsidR="0060140D" w:rsidRPr="00EF10A6">
        <w:rPr>
          <w:sz w:val="22"/>
          <w:szCs w:val="22"/>
        </w:rPr>
        <w:t>% u odnosu na prethodnu godinu</w:t>
      </w:r>
      <w:r w:rsidRPr="00EF10A6">
        <w:rPr>
          <w:sz w:val="22"/>
          <w:szCs w:val="22"/>
        </w:rPr>
        <w:t xml:space="preserve">. </w:t>
      </w:r>
      <w:r w:rsidRPr="00EF10A6">
        <w:rPr>
          <w:b/>
          <w:sz w:val="22"/>
          <w:szCs w:val="22"/>
        </w:rPr>
        <w:t>Izdaci</w:t>
      </w:r>
      <w:r w:rsidRPr="00EF10A6">
        <w:rPr>
          <w:sz w:val="22"/>
          <w:szCs w:val="22"/>
        </w:rPr>
        <w:t xml:space="preserve"> za financijsku imovinu i otplatu zajmova iznose </w:t>
      </w:r>
      <w:r w:rsidR="00391618" w:rsidRPr="00EF10A6">
        <w:rPr>
          <w:sz w:val="22"/>
          <w:szCs w:val="22"/>
        </w:rPr>
        <w:t>344.120,41 eura</w:t>
      </w:r>
      <w:r w:rsidRPr="00EF10A6">
        <w:rPr>
          <w:sz w:val="22"/>
          <w:szCs w:val="22"/>
        </w:rPr>
        <w:t xml:space="preserve"> i ostvareni su u visini </w:t>
      </w:r>
      <w:r w:rsidR="00391618" w:rsidRPr="00EF10A6">
        <w:rPr>
          <w:sz w:val="22"/>
          <w:szCs w:val="22"/>
        </w:rPr>
        <w:t>8,97%</w:t>
      </w:r>
      <w:r w:rsidRPr="00EF10A6">
        <w:rPr>
          <w:sz w:val="22"/>
          <w:szCs w:val="22"/>
        </w:rPr>
        <w:t xml:space="preserve"> u odnosu na plan</w:t>
      </w:r>
      <w:r w:rsidR="0060140D" w:rsidRPr="00EF10A6">
        <w:rPr>
          <w:sz w:val="22"/>
          <w:szCs w:val="22"/>
        </w:rPr>
        <w:t xml:space="preserve"> </w:t>
      </w:r>
      <w:r w:rsidR="00EF10A6" w:rsidRPr="00EF10A6">
        <w:rPr>
          <w:sz w:val="22"/>
          <w:szCs w:val="22"/>
        </w:rPr>
        <w:t>i</w:t>
      </w:r>
      <w:r w:rsidR="0060140D" w:rsidRPr="00EF10A6">
        <w:rPr>
          <w:sz w:val="22"/>
          <w:szCs w:val="22"/>
        </w:rPr>
        <w:t xml:space="preserve"> </w:t>
      </w:r>
      <w:r w:rsidR="00EF10A6" w:rsidRPr="00EF10A6">
        <w:rPr>
          <w:sz w:val="22"/>
          <w:szCs w:val="22"/>
        </w:rPr>
        <w:t>18,31</w:t>
      </w:r>
      <w:r w:rsidR="0060140D" w:rsidRPr="00EF10A6">
        <w:rPr>
          <w:sz w:val="22"/>
          <w:szCs w:val="22"/>
        </w:rPr>
        <w:t>% u odnosu na prethodnu godinu</w:t>
      </w:r>
      <w:r w:rsidRPr="00EF10A6">
        <w:rPr>
          <w:sz w:val="22"/>
          <w:szCs w:val="22"/>
        </w:rPr>
        <w:t xml:space="preserve">. Sveukupno rashodi i izdaci u konsolidiranom proračunu iznose </w:t>
      </w:r>
      <w:r w:rsidR="00391618" w:rsidRPr="00EF10A6">
        <w:rPr>
          <w:b/>
          <w:sz w:val="22"/>
          <w:szCs w:val="22"/>
        </w:rPr>
        <w:t>62.220.688,44 eura</w:t>
      </w:r>
      <w:r w:rsidRPr="00EF10A6">
        <w:rPr>
          <w:sz w:val="22"/>
          <w:szCs w:val="22"/>
        </w:rPr>
        <w:t xml:space="preserve">. </w:t>
      </w:r>
    </w:p>
    <w:p w14:paraId="71693F07" w14:textId="77777777" w:rsidR="002270B0" w:rsidRPr="00EF10A6" w:rsidRDefault="002270B0" w:rsidP="002270B0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  <w:r w:rsidRPr="00EF10A6">
        <w:rPr>
          <w:sz w:val="22"/>
          <w:szCs w:val="22"/>
        </w:rPr>
        <w:lastRenderedPageBreak/>
        <w:t xml:space="preserve">Ostvaren je </w:t>
      </w:r>
      <w:r w:rsidR="00391618" w:rsidRPr="00EF10A6">
        <w:rPr>
          <w:sz w:val="22"/>
          <w:szCs w:val="22"/>
        </w:rPr>
        <w:t>negativan</w:t>
      </w:r>
      <w:r w:rsidRPr="00EF10A6">
        <w:rPr>
          <w:sz w:val="22"/>
          <w:szCs w:val="22"/>
        </w:rPr>
        <w:t xml:space="preserve"> rezultat </w:t>
      </w:r>
      <w:r w:rsidR="00391618" w:rsidRPr="00EF10A6">
        <w:rPr>
          <w:sz w:val="22"/>
          <w:szCs w:val="22"/>
        </w:rPr>
        <w:t xml:space="preserve">polugodišnjeg razdoblja </w:t>
      </w:r>
      <w:r w:rsidRPr="00EF10A6">
        <w:rPr>
          <w:sz w:val="22"/>
          <w:szCs w:val="22"/>
        </w:rPr>
        <w:t>202</w:t>
      </w:r>
      <w:r w:rsidR="00391618" w:rsidRPr="00EF10A6">
        <w:rPr>
          <w:sz w:val="22"/>
          <w:szCs w:val="22"/>
        </w:rPr>
        <w:t>3</w:t>
      </w:r>
      <w:r w:rsidRPr="00EF10A6">
        <w:rPr>
          <w:sz w:val="22"/>
          <w:szCs w:val="22"/>
        </w:rPr>
        <w:t xml:space="preserve">. godine u iznosu od </w:t>
      </w:r>
      <w:r w:rsidR="00391618" w:rsidRPr="00EF10A6">
        <w:rPr>
          <w:sz w:val="22"/>
          <w:szCs w:val="22"/>
        </w:rPr>
        <w:t>3.264.620,62 eura te</w:t>
      </w:r>
      <w:r w:rsidRPr="00EF10A6">
        <w:rPr>
          <w:sz w:val="22"/>
          <w:szCs w:val="22"/>
        </w:rPr>
        <w:t xml:space="preserve"> se </w:t>
      </w:r>
      <w:r w:rsidR="0060140D" w:rsidRPr="00EF10A6">
        <w:rPr>
          <w:sz w:val="22"/>
          <w:szCs w:val="22"/>
        </w:rPr>
        <w:t xml:space="preserve">negativan </w:t>
      </w:r>
      <w:r w:rsidRPr="00EF10A6">
        <w:rPr>
          <w:sz w:val="22"/>
          <w:szCs w:val="22"/>
        </w:rPr>
        <w:t xml:space="preserve">rezultat konsolidiranog proračuna </w:t>
      </w:r>
      <w:r w:rsidR="00391618" w:rsidRPr="00EF10A6">
        <w:rPr>
          <w:sz w:val="22"/>
          <w:szCs w:val="22"/>
        </w:rPr>
        <w:t xml:space="preserve">povećava </w:t>
      </w:r>
      <w:r w:rsidRPr="00EF10A6">
        <w:rPr>
          <w:sz w:val="22"/>
          <w:szCs w:val="22"/>
        </w:rPr>
        <w:t xml:space="preserve">sa </w:t>
      </w:r>
      <w:r w:rsidR="00391618" w:rsidRPr="00EF10A6">
        <w:rPr>
          <w:sz w:val="22"/>
          <w:szCs w:val="22"/>
        </w:rPr>
        <w:t>7.932.360,89 eura</w:t>
      </w:r>
      <w:r w:rsidRPr="00EF10A6">
        <w:rPr>
          <w:sz w:val="22"/>
          <w:szCs w:val="22"/>
        </w:rPr>
        <w:t xml:space="preserve"> na</w:t>
      </w:r>
      <w:r w:rsidR="0060140D" w:rsidRPr="00EF10A6">
        <w:rPr>
          <w:sz w:val="22"/>
          <w:szCs w:val="22"/>
        </w:rPr>
        <w:t xml:space="preserve"> </w:t>
      </w:r>
      <w:r w:rsidR="00391618" w:rsidRPr="00EF10A6">
        <w:rPr>
          <w:sz w:val="22"/>
          <w:szCs w:val="22"/>
        </w:rPr>
        <w:t>11.196.981,51 eura</w:t>
      </w:r>
      <w:r w:rsidRPr="00EF10A6">
        <w:rPr>
          <w:sz w:val="22"/>
          <w:szCs w:val="22"/>
        </w:rPr>
        <w:t>.</w:t>
      </w:r>
    </w:p>
    <w:p w14:paraId="6DA3D2D2" w14:textId="77777777" w:rsidR="0016248E" w:rsidRDefault="0016248E" w:rsidP="002319F5">
      <w:pPr>
        <w:pStyle w:val="Odlomakpopisa"/>
        <w:ind w:left="0"/>
        <w:jc w:val="both"/>
        <w:rPr>
          <w:i/>
          <w:noProof/>
        </w:rPr>
      </w:pPr>
    </w:p>
    <w:p w14:paraId="40DBB60E" w14:textId="77777777" w:rsidR="008C65AE" w:rsidRDefault="002319F5" w:rsidP="002319F5">
      <w:pPr>
        <w:pStyle w:val="Odlomakpopisa"/>
        <w:ind w:left="0"/>
        <w:jc w:val="both"/>
        <w:rPr>
          <w:i/>
          <w:noProof/>
        </w:rPr>
      </w:pPr>
      <w:r w:rsidRPr="002270B0">
        <w:rPr>
          <w:i/>
          <w:noProof/>
        </w:rPr>
        <w:t>Rezultat</w:t>
      </w:r>
      <w:r w:rsidR="00110B56" w:rsidRPr="002270B0">
        <w:rPr>
          <w:i/>
          <w:noProof/>
        </w:rPr>
        <w:t xml:space="preserve"> Međimurske županije i svakog p</w:t>
      </w:r>
      <w:r w:rsidRPr="002270B0">
        <w:rPr>
          <w:i/>
          <w:noProof/>
        </w:rPr>
        <w:t>ojedinog proračunskog korisnika prika</w:t>
      </w:r>
      <w:r w:rsidR="00D957CB" w:rsidRPr="002270B0">
        <w:rPr>
          <w:i/>
          <w:noProof/>
        </w:rPr>
        <w:t>zuje</w:t>
      </w:r>
      <w:r w:rsidRPr="002270B0">
        <w:rPr>
          <w:i/>
          <w:noProof/>
        </w:rPr>
        <w:t xml:space="preserve"> tabela:</w:t>
      </w:r>
    </w:p>
    <w:tbl>
      <w:tblPr>
        <w:tblW w:w="10260" w:type="dxa"/>
        <w:tblInd w:w="11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857"/>
        <w:gridCol w:w="1677"/>
        <w:gridCol w:w="1701"/>
        <w:gridCol w:w="1559"/>
        <w:gridCol w:w="1560"/>
        <w:gridCol w:w="1684"/>
        <w:gridCol w:w="222"/>
      </w:tblGrid>
      <w:tr w:rsidR="001232C3" w14:paraId="38E6A2A9" w14:textId="77777777" w:rsidTr="001232C3">
        <w:trPr>
          <w:gridAfter w:val="1"/>
          <w:wAfter w:w="222" w:type="dxa"/>
          <w:trHeight w:val="885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2FD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Hlk140228297"/>
            <w:r>
              <w:rPr>
                <w:b/>
                <w:bCs/>
                <w:color w:val="000000"/>
                <w:sz w:val="16"/>
                <w:szCs w:val="16"/>
              </w:rPr>
              <w:t>Proračun / proračunski korisnik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7DD4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PRIHODI I PRIMICI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E04B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RASHODI I IZDACI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284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VIŠAK/MANJAK PRIHODA I PRIMITAKA RAZDOBLJA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008E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PRENESENI REZULTAT IZ PRETHODNIH RAZDOBLJA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0FD0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REZULTAT 30.06.2023.</w:t>
            </w:r>
          </w:p>
        </w:tc>
      </w:tr>
      <w:bookmarkEnd w:id="0"/>
      <w:tr w:rsidR="001232C3" w14:paraId="6BFE9E61" w14:textId="77777777" w:rsidTr="001232C3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B103B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A4AF2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0A29DD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4EF1B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85C742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A10C2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BDE4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32C3" w14:paraId="609FF6B8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E52D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Međimurska županija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C59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11.096.207,23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0E5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12.047.547,75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18C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951.340,52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FE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2.214.674,74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D0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3.166.015,26    </w:t>
            </w:r>
          </w:p>
        </w:tc>
        <w:tc>
          <w:tcPr>
            <w:tcW w:w="222" w:type="dxa"/>
            <w:vAlign w:val="center"/>
            <w:hideMark/>
          </w:tcPr>
          <w:p w14:paraId="348154D3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6FA310E6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967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Belica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83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542.888,14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7A7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569.668,96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5C3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26.780,82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DB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16.104,51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AE8E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10.676,31    </w:t>
            </w:r>
          </w:p>
        </w:tc>
        <w:tc>
          <w:tcPr>
            <w:tcW w:w="222" w:type="dxa"/>
            <w:vAlign w:val="center"/>
            <w:hideMark/>
          </w:tcPr>
          <w:p w14:paraId="029029DF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3B5B8A35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CEF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Domašinec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47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472.532,90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81A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462.363,38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066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10.169,52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20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3.791,07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450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13.960,59    </w:t>
            </w:r>
          </w:p>
        </w:tc>
        <w:tc>
          <w:tcPr>
            <w:tcW w:w="222" w:type="dxa"/>
            <w:vAlign w:val="center"/>
            <w:hideMark/>
          </w:tcPr>
          <w:p w14:paraId="575A3978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47F08A95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F662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Donja Dubrava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35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466.486,84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72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465.358,40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763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1.128,44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D90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543,88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7C9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 1.672,32    </w:t>
            </w:r>
          </w:p>
        </w:tc>
        <w:tc>
          <w:tcPr>
            <w:tcW w:w="222" w:type="dxa"/>
            <w:vAlign w:val="center"/>
            <w:hideMark/>
          </w:tcPr>
          <w:p w14:paraId="157BC2E5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6596D9B6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433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Draškovec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4C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273.863,02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1D2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268.288,11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48F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5.574,91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B7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20.525,44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F9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26.100,35    </w:t>
            </w:r>
          </w:p>
        </w:tc>
        <w:tc>
          <w:tcPr>
            <w:tcW w:w="222" w:type="dxa"/>
            <w:vAlign w:val="center"/>
            <w:hideMark/>
          </w:tcPr>
          <w:p w14:paraId="4F009D14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874360C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5F6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Donji Kraljevec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AF5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295.338,95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76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286.938,16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8A6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8.400,79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67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29.443,02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B9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37.843,81    </w:t>
            </w:r>
          </w:p>
        </w:tc>
        <w:tc>
          <w:tcPr>
            <w:tcW w:w="222" w:type="dxa"/>
            <w:vAlign w:val="center"/>
            <w:hideMark/>
          </w:tcPr>
          <w:p w14:paraId="48BB673C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A7CA9CE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E9C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Goričan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B83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357.244,14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EC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359.867,58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4A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2.623,44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B8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15.718,32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06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13.094,88    </w:t>
            </w:r>
          </w:p>
        </w:tc>
        <w:tc>
          <w:tcPr>
            <w:tcW w:w="222" w:type="dxa"/>
            <w:vAlign w:val="center"/>
            <w:hideMark/>
          </w:tcPr>
          <w:p w14:paraId="2CE14E11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F22C7E1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368C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Gornji Mihaljevec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C9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281.500,48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68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282.458,41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BB0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  957,93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463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4.849,06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F8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 3.891,13    </w:t>
            </w:r>
          </w:p>
        </w:tc>
        <w:tc>
          <w:tcPr>
            <w:tcW w:w="222" w:type="dxa"/>
            <w:vAlign w:val="center"/>
            <w:hideMark/>
          </w:tcPr>
          <w:p w14:paraId="37916029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B95B052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EB6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Hodošan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11D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455.268,70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76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438.775,88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32A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16.492,82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29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15.673,15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997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32.165,97    </w:t>
            </w:r>
          </w:p>
        </w:tc>
        <w:tc>
          <w:tcPr>
            <w:tcW w:w="222" w:type="dxa"/>
            <w:vAlign w:val="center"/>
            <w:hideMark/>
          </w:tcPr>
          <w:p w14:paraId="76DB714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7FA959D4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9A0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Kotoriba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ED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508.192,07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EA8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509.003,61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760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  811,54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98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15.891,87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AF7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15.080,33    </w:t>
            </w:r>
          </w:p>
        </w:tc>
        <w:tc>
          <w:tcPr>
            <w:tcW w:w="222" w:type="dxa"/>
            <w:vAlign w:val="center"/>
            <w:hideMark/>
          </w:tcPr>
          <w:p w14:paraId="3B3F1F8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1FF6095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76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Macinec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87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903.311,70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84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890.270,30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DBC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13.041,40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4D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27.248,68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A13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40.290,08    </w:t>
            </w:r>
          </w:p>
        </w:tc>
        <w:tc>
          <w:tcPr>
            <w:tcW w:w="222" w:type="dxa"/>
            <w:vAlign w:val="center"/>
            <w:hideMark/>
          </w:tcPr>
          <w:p w14:paraId="45D11AD6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1319872A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E9A1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Tomaša Goričanca Mala Subotica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37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1.030.734,30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6A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1.037.548,84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C76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6.814,54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74A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18.109,86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73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11.295,32    </w:t>
            </w:r>
          </w:p>
        </w:tc>
        <w:tc>
          <w:tcPr>
            <w:tcW w:w="222" w:type="dxa"/>
            <w:vAlign w:val="center"/>
            <w:hideMark/>
          </w:tcPr>
          <w:p w14:paraId="2A0B6B20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C4ACBFC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163F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Mursko Središće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D5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809.524,12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13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796.119,20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9E2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13.404,92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3CE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79.880,93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AD6E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93.285,85    </w:t>
            </w:r>
          </w:p>
        </w:tc>
        <w:tc>
          <w:tcPr>
            <w:tcW w:w="222" w:type="dxa"/>
            <w:vAlign w:val="center"/>
            <w:hideMark/>
          </w:tcPr>
          <w:p w14:paraId="239D156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3BE18F6D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BE6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Nedelišće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8DE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961.336,44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CF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955.475,01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B8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5.861,43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5E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45.527,95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4A4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51.389,38    </w:t>
            </w:r>
          </w:p>
        </w:tc>
        <w:tc>
          <w:tcPr>
            <w:tcW w:w="222" w:type="dxa"/>
            <w:vAlign w:val="center"/>
            <w:hideMark/>
          </w:tcPr>
          <w:p w14:paraId="48A2DDE3" w14:textId="77777777" w:rsidR="001232C3" w:rsidRDefault="001232C3" w:rsidP="00EF10A6">
            <w:pPr>
              <w:rPr>
                <w:sz w:val="20"/>
                <w:szCs w:val="20"/>
              </w:rPr>
            </w:pPr>
          </w:p>
          <w:p w14:paraId="2B27219C" w14:textId="77777777" w:rsidR="001232C3" w:rsidRDefault="001232C3" w:rsidP="00EF10A6">
            <w:pPr>
              <w:rPr>
                <w:sz w:val="20"/>
                <w:szCs w:val="20"/>
              </w:rPr>
            </w:pPr>
          </w:p>
          <w:p w14:paraId="174136D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2F130783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0B6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Orehovica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75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810.370,66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C35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764.350,66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332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46.020,00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22A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13.079,62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13D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59.099,62    </w:t>
            </w:r>
          </w:p>
        </w:tc>
        <w:tc>
          <w:tcPr>
            <w:tcW w:w="222" w:type="dxa"/>
            <w:vAlign w:val="center"/>
            <w:hideMark/>
          </w:tcPr>
          <w:p w14:paraId="632C21A1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24B7F62" w14:textId="77777777" w:rsidTr="001232C3">
        <w:trPr>
          <w:trHeight w:val="704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742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Podturen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A3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779.118,85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5C0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752.476,73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DF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26.642,12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18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15.960,48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0C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42.602,60   </w:t>
            </w:r>
          </w:p>
        </w:tc>
        <w:tc>
          <w:tcPr>
            <w:tcW w:w="222" w:type="dxa"/>
            <w:vAlign w:val="center"/>
            <w:hideMark/>
          </w:tcPr>
          <w:p w14:paraId="040B4AB1" w14:textId="77777777" w:rsidR="001232C3" w:rsidRDefault="001232C3" w:rsidP="00EF10A6">
            <w:pPr>
              <w:rPr>
                <w:sz w:val="20"/>
                <w:szCs w:val="20"/>
              </w:rPr>
            </w:pPr>
          </w:p>
          <w:p w14:paraId="403D1495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A759B7C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19E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Prelog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2B0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762.793,85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60BE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744.292,05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318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18.501,80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C4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63.827,18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35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82.328,98    </w:t>
            </w:r>
          </w:p>
        </w:tc>
        <w:tc>
          <w:tcPr>
            <w:tcW w:w="222" w:type="dxa"/>
            <w:vAlign w:val="center"/>
            <w:hideMark/>
          </w:tcPr>
          <w:p w14:paraId="75243E44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794DAF3F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35C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Vladimira Nazora Pribislavec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CE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738.821,12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CDC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718.134,14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614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20.686,98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D96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42.404,88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EF4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21.717,90    </w:t>
            </w:r>
          </w:p>
        </w:tc>
        <w:tc>
          <w:tcPr>
            <w:tcW w:w="222" w:type="dxa"/>
            <w:vAlign w:val="center"/>
            <w:hideMark/>
          </w:tcPr>
          <w:p w14:paraId="4FB54CBC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2F8EEFE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F3C1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Selnica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44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498.537,47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71A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500.578,43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65B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2.040,96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D03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31.776,81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803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29.735,85    </w:t>
            </w:r>
          </w:p>
        </w:tc>
        <w:tc>
          <w:tcPr>
            <w:tcW w:w="222" w:type="dxa"/>
            <w:vAlign w:val="center"/>
            <w:hideMark/>
          </w:tcPr>
          <w:p w14:paraId="06FA7F79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01D6F95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C4B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Strahoninec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70CE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619.915,48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543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622.510,31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C9D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2.594,83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98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1.166,78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7A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  1.428,05    </w:t>
            </w:r>
          </w:p>
        </w:tc>
        <w:tc>
          <w:tcPr>
            <w:tcW w:w="222" w:type="dxa"/>
            <w:vAlign w:val="center"/>
            <w:hideMark/>
          </w:tcPr>
          <w:p w14:paraId="09CFB34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4578C4D8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5C5F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Ivan Gorana Kovačića Sveti Juraj na Bregu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AF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715.562,78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E66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722.162,50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29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6.599,72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729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102.745,35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01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96.145,63    </w:t>
            </w:r>
          </w:p>
        </w:tc>
        <w:tc>
          <w:tcPr>
            <w:tcW w:w="222" w:type="dxa"/>
            <w:vAlign w:val="center"/>
            <w:hideMark/>
          </w:tcPr>
          <w:p w14:paraId="23350E78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6D713359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7599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Sveta Marija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545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317.128,16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45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319.705,18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A4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2.577,02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D5F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14.425,22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A68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11.848,20    </w:t>
            </w:r>
          </w:p>
        </w:tc>
        <w:tc>
          <w:tcPr>
            <w:tcW w:w="222" w:type="dxa"/>
            <w:vAlign w:val="center"/>
            <w:hideMark/>
          </w:tcPr>
          <w:p w14:paraId="5B79DF1D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EEED969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D90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Sveti Martin na Muri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2A4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346.264,97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0E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351.537,28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350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5.272,31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09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12.828,39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D1D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 7.556,08    </w:t>
            </w:r>
          </w:p>
        </w:tc>
        <w:tc>
          <w:tcPr>
            <w:tcW w:w="222" w:type="dxa"/>
            <w:vAlign w:val="center"/>
            <w:hideMark/>
          </w:tcPr>
          <w:p w14:paraId="31713444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35D39D98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0A4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Petar Zrinski Šenkovec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1D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698.829,81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32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709.833,58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BD4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11.003,77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BD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51.532,54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C0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40.528,77    </w:t>
            </w:r>
          </w:p>
        </w:tc>
        <w:tc>
          <w:tcPr>
            <w:tcW w:w="222" w:type="dxa"/>
            <w:vAlign w:val="center"/>
            <w:hideMark/>
          </w:tcPr>
          <w:p w14:paraId="3EFAC7E6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7400B4B5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9E4C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Štrigova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876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495.531,25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4D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504.006,32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60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8.475,07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190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16.130,27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09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 7.655,20    </w:t>
            </w:r>
          </w:p>
        </w:tc>
        <w:tc>
          <w:tcPr>
            <w:tcW w:w="222" w:type="dxa"/>
            <w:vAlign w:val="center"/>
            <w:hideMark/>
          </w:tcPr>
          <w:p w14:paraId="2209FB76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6E119DA6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7199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Osnovna škola dr. Vinka Žganca Vratišinec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F8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295.289,99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71C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298.386,38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97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3.096,39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FB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22.642,48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17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19.546,09    </w:t>
            </w:r>
          </w:p>
        </w:tc>
        <w:tc>
          <w:tcPr>
            <w:tcW w:w="222" w:type="dxa"/>
            <w:vAlign w:val="center"/>
            <w:hideMark/>
          </w:tcPr>
          <w:p w14:paraId="44899B24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3EBACEC3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E6E3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Ekonomska i trgovačka škola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66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983.348,57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3C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835.141,89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640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148.206,68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CDE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103.366,24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4A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44.840,44    </w:t>
            </w:r>
          </w:p>
        </w:tc>
        <w:tc>
          <w:tcPr>
            <w:tcW w:w="222" w:type="dxa"/>
            <w:vAlign w:val="center"/>
            <w:hideMark/>
          </w:tcPr>
          <w:p w14:paraId="77883088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72E5C823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456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Gimnazija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46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1.006.047,70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5D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1.025.946,91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8B3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19.899,21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7B5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25.332,73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D8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 5.433,52    </w:t>
            </w:r>
          </w:p>
        </w:tc>
        <w:tc>
          <w:tcPr>
            <w:tcW w:w="222" w:type="dxa"/>
            <w:vAlign w:val="center"/>
            <w:hideMark/>
          </w:tcPr>
          <w:p w14:paraId="46B3984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A316A6F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994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Gospodarska škola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E2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1.025.207,55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9C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1.245.867,15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DBD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220.659,60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5BF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255.998,76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2C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35.339,16    </w:t>
            </w:r>
          </w:p>
        </w:tc>
        <w:tc>
          <w:tcPr>
            <w:tcW w:w="222" w:type="dxa"/>
            <w:vAlign w:val="center"/>
            <w:hideMark/>
          </w:tcPr>
          <w:p w14:paraId="27FC03FB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CC1C43C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EB49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Graditeljska škola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038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1.504.262,65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E16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1.503.619,87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0F5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642,78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B3F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130.639,83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3D7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131.282,61    </w:t>
            </w:r>
          </w:p>
        </w:tc>
        <w:tc>
          <w:tcPr>
            <w:tcW w:w="222" w:type="dxa"/>
            <w:vAlign w:val="center"/>
            <w:hideMark/>
          </w:tcPr>
          <w:p w14:paraId="2DBED36D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108460F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D7C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Srednja škola Prelog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76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890.629,28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A8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980.769,83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D1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90.140,55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C46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102.135,29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B0B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11.994,74    </w:t>
            </w:r>
          </w:p>
        </w:tc>
        <w:tc>
          <w:tcPr>
            <w:tcW w:w="222" w:type="dxa"/>
            <w:vAlign w:val="center"/>
            <w:hideMark/>
          </w:tcPr>
          <w:p w14:paraId="1E56BFC9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2EE84074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9BB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Tehnička škola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F69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1.376.219,83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459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1.891.591,75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43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515.371,92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34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67.838,00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890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447.533,92    </w:t>
            </w:r>
          </w:p>
        </w:tc>
        <w:tc>
          <w:tcPr>
            <w:tcW w:w="222" w:type="dxa"/>
            <w:vAlign w:val="center"/>
            <w:hideMark/>
          </w:tcPr>
          <w:p w14:paraId="218964AF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29C7737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26E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Muzej Međimurja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E9F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3.153.105,61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273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2.854.450,25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EA5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298.655,36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2C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52.469,89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F14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351.125,25    </w:t>
            </w:r>
          </w:p>
        </w:tc>
        <w:tc>
          <w:tcPr>
            <w:tcW w:w="222" w:type="dxa"/>
            <w:vAlign w:val="center"/>
            <w:hideMark/>
          </w:tcPr>
          <w:p w14:paraId="22131F1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A4D29E4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6C38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Županijska bolnica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81F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19.976.777,59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D6B2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21.416.794,89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1E7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1.440.017,30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C3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8.387.250,57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89C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9.827.267,87    </w:t>
            </w:r>
          </w:p>
        </w:tc>
        <w:tc>
          <w:tcPr>
            <w:tcW w:w="222" w:type="dxa"/>
            <w:vAlign w:val="center"/>
            <w:hideMark/>
          </w:tcPr>
          <w:p w14:paraId="3BD58B48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4B1E8432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D669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Zavod za hitnu medicinu Međimurske županije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580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1.810.306,25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53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1.853.272,05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DFD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42.965,80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AA7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271.028,42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15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313.994,22    </w:t>
            </w:r>
          </w:p>
        </w:tc>
        <w:tc>
          <w:tcPr>
            <w:tcW w:w="222" w:type="dxa"/>
            <w:vAlign w:val="center"/>
            <w:hideMark/>
          </w:tcPr>
          <w:p w14:paraId="5032E240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233F2AC4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4EEC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Zavod za javno zdravstvo Međimurske županije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AEF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1.286.116,38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87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1.779.472,19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977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493.355,81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DBA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1.209.625,47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F96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716.269,66    </w:t>
            </w:r>
          </w:p>
        </w:tc>
        <w:tc>
          <w:tcPr>
            <w:tcW w:w="222" w:type="dxa"/>
            <w:vAlign w:val="center"/>
            <w:hideMark/>
          </w:tcPr>
          <w:p w14:paraId="3B28B1F0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1322875" w14:textId="77777777" w:rsidTr="001232C3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E3B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 zdravlja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9CC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1.832.154,11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C36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2.011.856,00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A82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179.701,89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539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447.493,62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4130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267.791,73    </w:t>
            </w:r>
          </w:p>
        </w:tc>
        <w:tc>
          <w:tcPr>
            <w:tcW w:w="222" w:type="dxa"/>
            <w:vAlign w:val="center"/>
            <w:hideMark/>
          </w:tcPr>
          <w:p w14:paraId="334AA1E9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64D1A2CD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EEB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Dom za žrtve obiteljskog nasilja - Sigurna kuća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BC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45.802,60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F4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42.475,96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ABB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3.326,64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A0C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9.904,64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9C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13.231,28    </w:t>
            </w:r>
          </w:p>
        </w:tc>
        <w:tc>
          <w:tcPr>
            <w:tcW w:w="222" w:type="dxa"/>
            <w:vAlign w:val="center"/>
            <w:hideMark/>
          </w:tcPr>
          <w:p w14:paraId="30D13456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71706FFB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153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Dom za starije i nemoćne osobe Čakovec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AD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1.082.987,20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FDAD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1.079.769,04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9D55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3.218,16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844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20.553,16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16D9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23.771,32    </w:t>
            </w:r>
          </w:p>
        </w:tc>
        <w:tc>
          <w:tcPr>
            <w:tcW w:w="222" w:type="dxa"/>
            <w:vAlign w:val="center"/>
            <w:hideMark/>
          </w:tcPr>
          <w:p w14:paraId="75C0685B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0DBB205C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305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Zavod za prostorno planiranje MŽ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A6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94.867,05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C5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95.211,95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B6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  344,90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B84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 317,98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1F8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        26,92    </w:t>
            </w:r>
          </w:p>
        </w:tc>
        <w:tc>
          <w:tcPr>
            <w:tcW w:w="222" w:type="dxa"/>
            <w:vAlign w:val="center"/>
            <w:hideMark/>
          </w:tcPr>
          <w:p w14:paraId="65C9E74B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30AA4A96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236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Javna ustanova - Međimurska priroda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9FA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277.810,38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7F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255.573,74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BDB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22.236,64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A193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-             5.744,96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5AC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16.491,68    </w:t>
            </w:r>
          </w:p>
        </w:tc>
        <w:tc>
          <w:tcPr>
            <w:tcW w:w="222" w:type="dxa"/>
            <w:vAlign w:val="center"/>
            <w:hideMark/>
          </w:tcPr>
          <w:p w14:paraId="35A90825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4E48814" w14:textId="77777777" w:rsidTr="001232C3">
        <w:trPr>
          <w:trHeight w:val="45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97D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Javna ustanova za razvoj Međimurske županije REDEA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E57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386.254,77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B6B4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343.625,51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1531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42.629,26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F81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116.739,11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EAB" w14:textId="77777777" w:rsidR="001232C3" w:rsidRPr="006234A2" w:rsidRDefault="001232C3" w:rsidP="00EF10A6">
            <w:pPr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159.368,37    </w:t>
            </w:r>
          </w:p>
        </w:tc>
        <w:tc>
          <w:tcPr>
            <w:tcW w:w="222" w:type="dxa"/>
            <w:vAlign w:val="center"/>
            <w:hideMark/>
          </w:tcPr>
          <w:p w14:paraId="71D6B4D7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5E4325FA" w14:textId="77777777" w:rsidTr="001232C3">
        <w:trPr>
          <w:trHeight w:val="690"/>
        </w:trPr>
        <w:tc>
          <w:tcPr>
            <w:tcW w:w="1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E4A" w14:textId="77777777" w:rsidR="001232C3" w:rsidRDefault="001232C3" w:rsidP="00EF10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Razvojno - edukacijski centar za metalsku jezgru - Metalska jezgra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3B9" w14:textId="77777777" w:rsidR="001232C3" w:rsidRPr="006234A2" w:rsidRDefault="001232C3" w:rsidP="00EF10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224.006,27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66D4" w14:textId="77777777" w:rsidR="001232C3" w:rsidRPr="006234A2" w:rsidRDefault="001232C3" w:rsidP="00EF10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160.021,70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BCD0" w14:textId="77777777" w:rsidR="001232C3" w:rsidRPr="006234A2" w:rsidRDefault="001232C3" w:rsidP="00EF10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63.984,57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3AF" w14:textId="77777777" w:rsidR="001232C3" w:rsidRPr="006234A2" w:rsidRDefault="001232C3" w:rsidP="00EF10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13.637,58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E9C" w14:textId="77777777" w:rsidR="001232C3" w:rsidRPr="006234A2" w:rsidRDefault="001232C3" w:rsidP="00EF10A6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 w:rsidRPr="006234A2">
              <w:rPr>
                <w:color w:val="000000"/>
                <w:sz w:val="18"/>
                <w:szCs w:val="18"/>
              </w:rPr>
              <w:t xml:space="preserve">                77.622,15    </w:t>
            </w:r>
          </w:p>
        </w:tc>
        <w:tc>
          <w:tcPr>
            <w:tcW w:w="222" w:type="dxa"/>
            <w:vAlign w:val="center"/>
            <w:hideMark/>
          </w:tcPr>
          <w:p w14:paraId="1ACA4EF1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77DAF6DB" w14:textId="77777777" w:rsidTr="001232C3">
        <w:trPr>
          <w:trHeight w:val="30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4CB06" w14:textId="77777777" w:rsidR="001232C3" w:rsidRDefault="001232C3" w:rsidP="00EF10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D91E7" w14:textId="77777777" w:rsidR="001232C3" w:rsidRDefault="001232C3" w:rsidP="00EF10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62.488.497,21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13E5" w14:textId="77777777" w:rsidR="001232C3" w:rsidRDefault="001232C3" w:rsidP="00EF10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65.753.117,83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F353F" w14:textId="77777777" w:rsidR="001232C3" w:rsidRDefault="001232C3" w:rsidP="00EF10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        3.264.620,62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A91DF" w14:textId="77777777" w:rsidR="001232C3" w:rsidRDefault="001232C3" w:rsidP="00EF10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     7.932.360,89 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AE5A4" w14:textId="77777777" w:rsidR="001232C3" w:rsidRDefault="001232C3" w:rsidP="00EF10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         11.196.981,51 </w:t>
            </w:r>
          </w:p>
        </w:tc>
        <w:tc>
          <w:tcPr>
            <w:tcW w:w="222" w:type="dxa"/>
            <w:vAlign w:val="center"/>
            <w:hideMark/>
          </w:tcPr>
          <w:p w14:paraId="44687EF3" w14:textId="77777777" w:rsidR="001232C3" w:rsidRDefault="001232C3" w:rsidP="00EF10A6">
            <w:pPr>
              <w:rPr>
                <w:sz w:val="20"/>
                <w:szCs w:val="20"/>
              </w:rPr>
            </w:pPr>
          </w:p>
        </w:tc>
      </w:tr>
      <w:tr w:rsidR="001232C3" w14:paraId="4B958AF1" w14:textId="77777777" w:rsidTr="001232C3">
        <w:trPr>
          <w:trHeight w:val="31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D33CF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9569B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C39F2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7D741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98008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154D8" w14:textId="77777777" w:rsidR="001232C3" w:rsidRDefault="001232C3" w:rsidP="00EF10A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D8A" w14:textId="77777777" w:rsidR="001232C3" w:rsidRDefault="001232C3" w:rsidP="00EF10A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002827" w14:textId="77777777" w:rsidR="00391618" w:rsidRDefault="00391618" w:rsidP="002319F5">
      <w:pPr>
        <w:pStyle w:val="Odlomakpopisa"/>
        <w:ind w:left="0"/>
        <w:jc w:val="both"/>
        <w:rPr>
          <w:i/>
          <w:noProof/>
        </w:rPr>
      </w:pPr>
    </w:p>
    <w:p w14:paraId="78112985" w14:textId="77777777" w:rsidR="00A24BAA" w:rsidRDefault="002270B0" w:rsidP="00A24BAA">
      <w:pPr>
        <w:pStyle w:val="Odlomakpopisa"/>
        <w:spacing w:after="160" w:line="259" w:lineRule="auto"/>
        <w:ind w:left="0"/>
        <w:jc w:val="both"/>
      </w:pPr>
      <w:r>
        <w:t>Rezultati</w:t>
      </w:r>
      <w:r w:rsidR="0060140D">
        <w:t xml:space="preserve"> </w:t>
      </w:r>
      <w:r>
        <w:t xml:space="preserve">navedeni u tabeli u stupcu </w:t>
      </w:r>
      <w:r w:rsidR="001232C3">
        <w:t>4</w:t>
      </w:r>
      <w:r>
        <w:t>. prikazuju rezultat tekućeg</w:t>
      </w:r>
      <w:r w:rsidR="001232C3">
        <w:t xml:space="preserve"> razdoblja</w:t>
      </w:r>
      <w:r>
        <w:t xml:space="preserve"> na dan 3</w:t>
      </w:r>
      <w:r w:rsidR="001232C3">
        <w:t>0</w:t>
      </w:r>
      <w:r>
        <w:t xml:space="preserve">. </w:t>
      </w:r>
      <w:r w:rsidR="001232C3">
        <w:t>lipnja</w:t>
      </w:r>
      <w:r>
        <w:t xml:space="preserve"> 202</w:t>
      </w:r>
      <w:r w:rsidR="001232C3">
        <w:t>3</w:t>
      </w:r>
      <w:r>
        <w:t xml:space="preserve">. </w:t>
      </w:r>
      <w:r w:rsidR="001232C3">
        <w:t>godine po instituciji i</w:t>
      </w:r>
      <w:r w:rsidR="00724DE8">
        <w:t xml:space="preserve"> </w:t>
      </w:r>
      <w:r w:rsidR="001232C3">
        <w:t>ukupan negativan</w:t>
      </w:r>
      <w:r w:rsidR="00724DE8">
        <w:t xml:space="preserve"> konsolidirani rezultat u iznosu od </w:t>
      </w:r>
      <w:r w:rsidR="001232C3">
        <w:t>3.264.620,62 eura</w:t>
      </w:r>
      <w:r w:rsidR="00724DE8">
        <w:t xml:space="preserve"> </w:t>
      </w:r>
      <w:r>
        <w:t>dok je u posljednjem stupcu prikazan rezultat koji uključuje preneseni manjak odnosno višak prethodnog razdoblja</w:t>
      </w:r>
      <w:r w:rsidR="00724DE8">
        <w:t xml:space="preserve"> po korisniku, odnosno prikazuje </w:t>
      </w:r>
      <w:r w:rsidR="001232C3">
        <w:t>povećanje</w:t>
      </w:r>
      <w:r w:rsidR="00724DE8">
        <w:t xml:space="preserve"> manjka konsolidiranog proračuna kuna na </w:t>
      </w:r>
      <w:r w:rsidR="001232C3">
        <w:t>11.196.981,51 eura</w:t>
      </w:r>
      <w:r>
        <w:t xml:space="preserve">. </w:t>
      </w:r>
    </w:p>
    <w:p w14:paraId="4572CCDA" w14:textId="77777777" w:rsidR="002270B0" w:rsidRDefault="00A24BAA" w:rsidP="002671C7">
      <w:pPr>
        <w:pStyle w:val="Odlomakpopisa"/>
        <w:spacing w:after="160" w:line="259" w:lineRule="auto"/>
        <w:ind w:left="0"/>
        <w:jc w:val="both"/>
      </w:pPr>
      <w:r w:rsidRPr="00A24BAA">
        <w:t>Najveći manjak polugodišnjeg razdoblja 2023. godine pripada Županijskoj bolnici Čakovec i iznosi 1.440.017,30 eura dok je najveći višak ostvaren od strane Muzeju Međimurje u iznosu od 298.655,36 eura. Međimurska županija je ostvarila negativan rezultat u iznosu od 951.340,52 eura koji je nastao prvenstveno zbog plaćanja računa za sanacije od potresa dok se za iste prihod očekuje u srpnju 2023. godine.</w:t>
      </w:r>
    </w:p>
    <w:p w14:paraId="602992A5" w14:textId="77777777" w:rsidR="002671C7" w:rsidRDefault="002671C7" w:rsidP="002671C7">
      <w:pPr>
        <w:pStyle w:val="Odlomakpopisa"/>
        <w:spacing w:after="160" w:line="259" w:lineRule="auto"/>
        <w:ind w:left="0"/>
        <w:jc w:val="both"/>
      </w:pPr>
    </w:p>
    <w:p w14:paraId="35EBC0C6" w14:textId="77777777" w:rsidR="00333A84" w:rsidRDefault="00333A84" w:rsidP="00B0431D">
      <w:pPr>
        <w:pStyle w:val="Odlomakpopisa"/>
        <w:spacing w:after="160" w:line="259" w:lineRule="auto"/>
        <w:ind w:left="0"/>
        <w:jc w:val="both"/>
      </w:pPr>
      <w:r>
        <w:t xml:space="preserve">U dokumentu </w:t>
      </w:r>
      <w:r w:rsidR="001232C3">
        <w:t>Polugod</w:t>
      </w:r>
      <w:r w:rsidR="00B0431D">
        <w:t>išnji izvještaj o izvršenju proračuna za 202</w:t>
      </w:r>
      <w:r w:rsidR="001232C3">
        <w:t>3</w:t>
      </w:r>
      <w:r w:rsidR="00B0431D">
        <w:t>. godinu</w:t>
      </w:r>
      <w:r>
        <w:t>, unutar općeg dijela proračuna</w:t>
      </w:r>
      <w:r w:rsidR="00B0431D">
        <w:t xml:space="preserve"> </w:t>
      </w:r>
      <w:r>
        <w:t>iskazani su:</w:t>
      </w:r>
    </w:p>
    <w:p w14:paraId="304F36EF" w14:textId="77777777" w:rsidR="00333A84" w:rsidRPr="001E0037" w:rsidRDefault="00333A84" w:rsidP="00B0431D">
      <w:pPr>
        <w:pStyle w:val="Odlomakpopisa"/>
        <w:spacing w:after="160" w:line="259" w:lineRule="auto"/>
        <w:ind w:left="0"/>
        <w:jc w:val="both"/>
      </w:pPr>
      <w:r w:rsidRPr="001E0037">
        <w:t>A. Račun prihoda i rashoda</w:t>
      </w:r>
    </w:p>
    <w:p w14:paraId="69FB41D8" w14:textId="77777777" w:rsidR="004374F6" w:rsidRPr="001E0037" w:rsidRDefault="00333A84" w:rsidP="00B0431D">
      <w:pPr>
        <w:pStyle w:val="Odlomakpopisa"/>
        <w:spacing w:after="160" w:line="259" w:lineRule="auto"/>
        <w:ind w:left="0"/>
        <w:jc w:val="both"/>
      </w:pPr>
      <w:r w:rsidRPr="001E0037">
        <w:t>- Prihodi</w:t>
      </w:r>
      <w:r w:rsidR="004374F6" w:rsidRPr="001E0037">
        <w:t xml:space="preserve"> i</w:t>
      </w:r>
      <w:r w:rsidRPr="001E0037">
        <w:t xml:space="preserve"> rashodi prema ekonomskoj klasifikaciji (str.</w:t>
      </w:r>
      <w:r w:rsidR="00EF10A6" w:rsidRPr="001E0037">
        <w:t>2.</w:t>
      </w:r>
      <w:r w:rsidRPr="001E0037">
        <w:t>-str.</w:t>
      </w:r>
      <w:r w:rsidR="00EF10A6" w:rsidRPr="001E0037">
        <w:t>8.</w:t>
      </w:r>
      <w:r w:rsidRPr="001E0037">
        <w:t>)</w:t>
      </w:r>
    </w:p>
    <w:p w14:paraId="6719DF32" w14:textId="77777777" w:rsidR="00333A84" w:rsidRPr="001E0037" w:rsidRDefault="00333A84" w:rsidP="00B0431D">
      <w:pPr>
        <w:pStyle w:val="Odlomakpopisa"/>
        <w:spacing w:after="160" w:line="259" w:lineRule="auto"/>
        <w:ind w:left="0"/>
        <w:jc w:val="both"/>
      </w:pPr>
      <w:r w:rsidRPr="001E0037">
        <w:t>- Prihodi i rashodi pre</w:t>
      </w:r>
      <w:r w:rsidR="00EF10A6" w:rsidRPr="001E0037">
        <w:t>ma izvorima financiranja (str.9.-str.10.</w:t>
      </w:r>
      <w:r w:rsidRPr="001E0037">
        <w:t>)</w:t>
      </w:r>
    </w:p>
    <w:p w14:paraId="6694784C" w14:textId="77777777" w:rsidR="00333A84" w:rsidRPr="001E0037" w:rsidRDefault="00333A84" w:rsidP="00B0431D">
      <w:pPr>
        <w:pStyle w:val="Odlomakpopisa"/>
        <w:spacing w:after="160" w:line="259" w:lineRule="auto"/>
        <w:ind w:left="0"/>
        <w:jc w:val="both"/>
      </w:pPr>
      <w:r w:rsidRPr="001E0037">
        <w:t>- Rashodi prema f</w:t>
      </w:r>
      <w:r w:rsidR="00EF10A6" w:rsidRPr="001E0037">
        <w:t>unkcijskoj klasifikaciji (str.11.-str.12.</w:t>
      </w:r>
      <w:r w:rsidRPr="001E0037">
        <w:t>)</w:t>
      </w:r>
    </w:p>
    <w:p w14:paraId="68D7F477" w14:textId="77777777" w:rsidR="00333A84" w:rsidRPr="001E0037" w:rsidRDefault="00333A84" w:rsidP="00B0431D">
      <w:pPr>
        <w:pStyle w:val="Odlomakpopisa"/>
        <w:spacing w:after="160" w:line="259" w:lineRule="auto"/>
        <w:ind w:left="0"/>
        <w:jc w:val="both"/>
      </w:pPr>
      <w:r w:rsidRPr="001E0037">
        <w:t>B. Račun financiranja</w:t>
      </w:r>
    </w:p>
    <w:p w14:paraId="3FCA78E9" w14:textId="77777777" w:rsidR="00333A84" w:rsidRPr="001E0037" w:rsidRDefault="00333A84" w:rsidP="00B0431D">
      <w:pPr>
        <w:pStyle w:val="Odlomakpopisa"/>
        <w:spacing w:after="160" w:line="259" w:lineRule="auto"/>
        <w:ind w:left="0"/>
        <w:jc w:val="both"/>
      </w:pPr>
      <w:r w:rsidRPr="001E0037">
        <w:t>- Račun financiranja prema ekonomskoj kla</w:t>
      </w:r>
      <w:r w:rsidR="001E0037" w:rsidRPr="001E0037">
        <w:t>sifikaciji (str.13.</w:t>
      </w:r>
      <w:r w:rsidRPr="001E0037">
        <w:t>)</w:t>
      </w:r>
    </w:p>
    <w:p w14:paraId="558D49E6" w14:textId="77777777" w:rsidR="002671C7" w:rsidRDefault="00333A84" w:rsidP="002671C7">
      <w:pPr>
        <w:pStyle w:val="Odlomakpopisa"/>
        <w:spacing w:after="160" w:line="259" w:lineRule="auto"/>
        <w:ind w:left="0"/>
        <w:jc w:val="both"/>
      </w:pPr>
      <w:r w:rsidRPr="001E0037">
        <w:t>- Račun financiranja prema izvorima financiranja (str.1</w:t>
      </w:r>
      <w:r w:rsidR="001E0037" w:rsidRPr="001E0037">
        <w:t>4.</w:t>
      </w:r>
      <w:r w:rsidRPr="001E0037">
        <w:t>)</w:t>
      </w:r>
    </w:p>
    <w:p w14:paraId="2858F2CB" w14:textId="77777777" w:rsidR="00AD5CBA" w:rsidRDefault="00AD5CBA" w:rsidP="00B0431D">
      <w:pPr>
        <w:pStyle w:val="Odlomakpopisa"/>
        <w:spacing w:after="160" w:line="259" w:lineRule="auto"/>
        <w:ind w:left="0"/>
        <w:jc w:val="both"/>
      </w:pPr>
      <w:r>
        <w:t xml:space="preserve">Analitički prikaz ostvarenih primitaka i izvršenih izdataka po svakom pojedinačnom zajmu, kreditu, vrijednosnom papiru vezan uz </w:t>
      </w:r>
      <w:r w:rsidRPr="00FD37C6">
        <w:rPr>
          <w:b/>
        </w:rPr>
        <w:t>račun financiranja</w:t>
      </w:r>
      <w:r>
        <w:t>:</w:t>
      </w:r>
    </w:p>
    <w:p w14:paraId="77672158" w14:textId="77777777" w:rsidR="002671C7" w:rsidRDefault="002671C7">
      <w:pPr>
        <w:spacing w:after="160" w:line="259" w:lineRule="auto"/>
      </w:pPr>
      <w:r>
        <w:br w:type="page"/>
      </w:r>
    </w:p>
    <w:p w14:paraId="4A7737BC" w14:textId="77777777" w:rsidR="004374F6" w:rsidRDefault="004374F6" w:rsidP="00B0431D">
      <w:pPr>
        <w:pStyle w:val="Odlomakpopisa"/>
        <w:spacing w:after="160" w:line="259" w:lineRule="auto"/>
        <w:ind w:left="0"/>
        <w:jc w:val="both"/>
      </w:pPr>
      <w:r w:rsidRPr="001A2578">
        <w:lastRenderedPageBreak/>
        <w:t>Primici</w:t>
      </w:r>
      <w:r w:rsidR="007B6728" w:rsidRPr="001A2578">
        <w:t xml:space="preserve"> – Račun financiranja</w:t>
      </w:r>
      <w:r w:rsidR="001A2578" w:rsidRPr="001A2578">
        <w:t xml:space="preserve"> prema ekonomskoj klasifikaciji</w:t>
      </w:r>
      <w:r w:rsidRPr="001A2578">
        <w:t>:</w:t>
      </w:r>
    </w:p>
    <w:p w14:paraId="5AA2106C" w14:textId="00B2FDBA" w:rsidR="00AD5CBA" w:rsidRDefault="002B0DA1" w:rsidP="00B0431D">
      <w:pPr>
        <w:pStyle w:val="Odlomakpopisa"/>
        <w:spacing w:after="160" w:line="259" w:lineRule="auto"/>
        <w:ind w:left="0"/>
        <w:jc w:val="both"/>
      </w:pPr>
      <w:r>
        <w:rPr>
          <w:noProof/>
        </w:rPr>
        <w:drawing>
          <wp:inline distT="0" distB="0" distL="0" distR="0" wp14:anchorId="6DBC73CD" wp14:editId="37945493">
            <wp:extent cx="6119495" cy="1363345"/>
            <wp:effectExtent l="0" t="0" r="0" b="8255"/>
            <wp:docPr id="155619445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19445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CD302" w14:textId="77777777" w:rsidR="009A00FF" w:rsidRPr="002671C7" w:rsidRDefault="009A00FF" w:rsidP="009A00FF">
      <w:pPr>
        <w:tabs>
          <w:tab w:val="left" w:pos="1041"/>
          <w:tab w:val="left" w:pos="1906"/>
          <w:tab w:val="left" w:pos="7253"/>
          <w:tab w:val="left" w:pos="10955"/>
        </w:tabs>
        <w:spacing w:line="360" w:lineRule="auto"/>
        <w:jc w:val="both"/>
      </w:pPr>
      <w:r w:rsidRPr="002671C7">
        <w:t xml:space="preserve">U izvještajnom razdoblju ukupni primici su iznosili </w:t>
      </w:r>
      <w:r w:rsidR="001232C3" w:rsidRPr="002671C7">
        <w:rPr>
          <w:b/>
        </w:rPr>
        <w:t>13.837,45 eura</w:t>
      </w:r>
      <w:r w:rsidRPr="002671C7">
        <w:t xml:space="preserve"> kako slijedi:</w:t>
      </w:r>
    </w:p>
    <w:p w14:paraId="0217AA0E" w14:textId="77777777" w:rsidR="00CE0F42" w:rsidRPr="002671C7" w:rsidRDefault="001232C3" w:rsidP="00DD5F2D">
      <w:pPr>
        <w:pStyle w:val="Odlomakpopisa"/>
        <w:spacing w:after="160" w:line="259" w:lineRule="auto"/>
        <w:ind w:left="0"/>
        <w:jc w:val="both"/>
      </w:pPr>
      <w:r w:rsidRPr="002671C7">
        <w:t>Račun</w:t>
      </w:r>
      <w:r w:rsidR="009F21E2" w:rsidRPr="002671C7">
        <w:t xml:space="preserve"> </w:t>
      </w:r>
      <w:r w:rsidR="00CE0F42" w:rsidRPr="002671C7">
        <w:t>8163</w:t>
      </w:r>
      <w:r w:rsidRPr="002671C7">
        <w:t xml:space="preserve"> -</w:t>
      </w:r>
      <w:r w:rsidR="00CE0F42" w:rsidRPr="002671C7">
        <w:t xml:space="preserve"> evidentiran je primitak </w:t>
      </w:r>
      <w:r w:rsidR="00DD5F2D" w:rsidRPr="002671C7">
        <w:t xml:space="preserve">u iznosu </w:t>
      </w:r>
      <w:r w:rsidRPr="002671C7">
        <w:t>13.837,45</w:t>
      </w:r>
      <w:r w:rsidR="00DD5F2D" w:rsidRPr="002671C7">
        <w:t xml:space="preserve"> koji</w:t>
      </w:r>
      <w:r w:rsidR="00CE0F42" w:rsidRPr="002671C7">
        <w:t xml:space="preserve"> se odnos</w:t>
      </w:r>
      <w:r w:rsidR="00DD5F2D" w:rsidRPr="002671C7">
        <w:t>i</w:t>
      </w:r>
      <w:r w:rsidR="00CE0F42" w:rsidRPr="002671C7">
        <w:t xml:space="preserve"> na proračunskog korisnika Dom zdravlja koji na navedenom kontu bilježi povrat zajmova danih tuzemnim trgovačkim društvima izvan javnog sektora - odobrena je prodaja dugotrajne nefinancijske imovine na rate, odnosno robni zajam nositelji</w:t>
      </w:r>
      <w:r w:rsidR="00DD5F2D" w:rsidRPr="002671C7">
        <w:t xml:space="preserve">ma </w:t>
      </w:r>
      <w:r w:rsidR="00CE0F42" w:rsidRPr="002671C7">
        <w:t>privatne prakse u Čakovcu.</w:t>
      </w:r>
    </w:p>
    <w:p w14:paraId="60E382A5" w14:textId="77777777" w:rsidR="001A2578" w:rsidRPr="002671C7" w:rsidRDefault="001232C3" w:rsidP="001A2578">
      <w:pPr>
        <w:tabs>
          <w:tab w:val="left" w:pos="1041"/>
          <w:tab w:val="left" w:pos="1906"/>
          <w:tab w:val="left" w:pos="7253"/>
          <w:tab w:val="left" w:pos="10955"/>
        </w:tabs>
        <w:jc w:val="both"/>
      </w:pPr>
      <w:r w:rsidRPr="002671C7">
        <w:t>Račun 84 – Primici od zaduživanja – nije bilo zaduživanja u ovom izvještajnom razdoblju</w:t>
      </w:r>
    </w:p>
    <w:p w14:paraId="1317F08D" w14:textId="77777777" w:rsidR="001232C3" w:rsidRPr="002671C7" w:rsidRDefault="001232C3" w:rsidP="001A2578">
      <w:pPr>
        <w:tabs>
          <w:tab w:val="left" w:pos="1041"/>
          <w:tab w:val="left" w:pos="1906"/>
          <w:tab w:val="left" w:pos="7253"/>
          <w:tab w:val="left" w:pos="10955"/>
        </w:tabs>
        <w:jc w:val="both"/>
      </w:pPr>
    </w:p>
    <w:p w14:paraId="18741E54" w14:textId="77777777" w:rsidR="007B6728" w:rsidRPr="00AC22AF" w:rsidRDefault="007B6728" w:rsidP="001A2578">
      <w:pPr>
        <w:tabs>
          <w:tab w:val="left" w:pos="1041"/>
          <w:tab w:val="left" w:pos="1906"/>
          <w:tab w:val="left" w:pos="7253"/>
          <w:tab w:val="left" w:pos="10955"/>
        </w:tabs>
        <w:jc w:val="both"/>
        <w:rPr>
          <w:sz w:val="22"/>
          <w:szCs w:val="22"/>
        </w:rPr>
      </w:pPr>
      <w:r w:rsidRPr="001A2578">
        <w:rPr>
          <w:sz w:val="22"/>
          <w:szCs w:val="22"/>
        </w:rPr>
        <w:t>Izdaci – Račun financiranja</w:t>
      </w:r>
      <w:r w:rsidR="001A2578" w:rsidRPr="001A2578">
        <w:rPr>
          <w:sz w:val="22"/>
          <w:szCs w:val="22"/>
        </w:rPr>
        <w:t xml:space="preserve"> prema ekonomskoj klasifikaciji</w:t>
      </w:r>
      <w:r w:rsidRPr="001A2578">
        <w:rPr>
          <w:sz w:val="22"/>
          <w:szCs w:val="22"/>
        </w:rPr>
        <w:t>:</w:t>
      </w:r>
    </w:p>
    <w:p w14:paraId="39BC2C78" w14:textId="77777777" w:rsidR="002D274B" w:rsidRDefault="007B6728" w:rsidP="00B0431D">
      <w:pPr>
        <w:pStyle w:val="Odlomakpopisa"/>
        <w:spacing w:after="160" w:line="259" w:lineRule="auto"/>
        <w:ind w:left="0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3F588BAE" wp14:editId="42F365C2">
            <wp:extent cx="6143625" cy="353054"/>
            <wp:effectExtent l="0" t="0" r="0" b="9525"/>
            <wp:docPr id="5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447" cy="35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2DB07" w14:textId="3D055E5F" w:rsidR="007B6728" w:rsidRDefault="002B0DA1" w:rsidP="00B0431D">
      <w:pPr>
        <w:pStyle w:val="Odlomakpopisa"/>
        <w:spacing w:after="160" w:line="259" w:lineRule="auto"/>
        <w:ind w:left="0"/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1202456C" wp14:editId="0054D82A">
            <wp:extent cx="6119495" cy="2025015"/>
            <wp:effectExtent l="0" t="0" r="0" b="0"/>
            <wp:docPr id="35139568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9568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95072" w14:textId="77777777" w:rsidR="001A2578" w:rsidRDefault="001A2578" w:rsidP="00B0431D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</w:p>
    <w:p w14:paraId="117F3BBA" w14:textId="77777777" w:rsidR="002D274B" w:rsidRDefault="00DA72EF" w:rsidP="00B0431D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  <w:r w:rsidRPr="00435DE2">
        <w:rPr>
          <w:sz w:val="22"/>
          <w:szCs w:val="22"/>
        </w:rPr>
        <w:t>Analitički prikaz otplate glavnica</w:t>
      </w:r>
      <w:r w:rsidR="008600C2">
        <w:rPr>
          <w:sz w:val="22"/>
          <w:szCs w:val="22"/>
        </w:rPr>
        <w:t xml:space="preserve">-ukupno izdaci za financijsku imovinu i otplatu zajmova – </w:t>
      </w:r>
      <w:r w:rsidR="009F21E2">
        <w:rPr>
          <w:sz w:val="22"/>
          <w:szCs w:val="22"/>
        </w:rPr>
        <w:t>račun</w:t>
      </w:r>
      <w:r w:rsidR="008600C2">
        <w:rPr>
          <w:sz w:val="22"/>
          <w:szCs w:val="22"/>
        </w:rPr>
        <w:t xml:space="preserve"> 5</w:t>
      </w:r>
      <w:r w:rsidR="009F21E2">
        <w:rPr>
          <w:sz w:val="22"/>
          <w:szCs w:val="22"/>
        </w:rPr>
        <w:t xml:space="preserve"> -</w:t>
      </w:r>
      <w:r w:rsidR="009A00FF">
        <w:rPr>
          <w:sz w:val="22"/>
          <w:szCs w:val="22"/>
        </w:rPr>
        <w:t xml:space="preserve"> iznose </w:t>
      </w:r>
      <w:r w:rsidR="001232C3">
        <w:rPr>
          <w:b/>
          <w:sz w:val="22"/>
          <w:szCs w:val="22"/>
        </w:rPr>
        <w:t>344.120,41 eura</w:t>
      </w:r>
      <w:r w:rsidR="009A00FF">
        <w:rPr>
          <w:sz w:val="22"/>
          <w:szCs w:val="22"/>
        </w:rPr>
        <w:t xml:space="preserve"> kako slijedi</w:t>
      </w:r>
      <w:r w:rsidR="002D274B" w:rsidRPr="00435DE2">
        <w:rPr>
          <w:sz w:val="22"/>
          <w:szCs w:val="22"/>
        </w:rPr>
        <w:t>:</w:t>
      </w:r>
    </w:p>
    <w:p w14:paraId="59231AD9" w14:textId="77777777" w:rsidR="004435CA" w:rsidRDefault="004435CA" w:rsidP="004D4E87">
      <w:pPr>
        <w:pStyle w:val="Odlomakpopisa"/>
        <w:spacing w:after="160" w:line="259" w:lineRule="auto"/>
        <w:ind w:left="0"/>
        <w:jc w:val="both"/>
        <w:rPr>
          <w:b/>
          <w:sz w:val="22"/>
          <w:szCs w:val="22"/>
        </w:rPr>
      </w:pPr>
    </w:p>
    <w:p w14:paraId="32C9CD3A" w14:textId="77777777" w:rsidR="004D4E87" w:rsidRPr="00435DE2" w:rsidRDefault="004D4E87" w:rsidP="004D4E87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  <w:r w:rsidRPr="00435DE2">
        <w:rPr>
          <w:b/>
          <w:sz w:val="22"/>
          <w:szCs w:val="22"/>
        </w:rPr>
        <w:t>Međimurska županija</w:t>
      </w:r>
      <w:r w:rsidRPr="00435DE2">
        <w:rPr>
          <w:sz w:val="22"/>
          <w:szCs w:val="22"/>
        </w:rPr>
        <w:t xml:space="preserve">: otplaćeno </w:t>
      </w:r>
      <w:r>
        <w:rPr>
          <w:sz w:val="22"/>
          <w:szCs w:val="22"/>
        </w:rPr>
        <w:t xml:space="preserve">u izvještajnom razdoblju </w:t>
      </w:r>
      <w:r w:rsidR="001232C3">
        <w:rPr>
          <w:b/>
          <w:sz w:val="22"/>
          <w:szCs w:val="22"/>
        </w:rPr>
        <w:t>122.570,24 eura</w:t>
      </w:r>
      <w:r w:rsidR="00295BAF">
        <w:rPr>
          <w:sz w:val="22"/>
          <w:szCs w:val="22"/>
        </w:rPr>
        <w:t>:</w:t>
      </w:r>
    </w:p>
    <w:p w14:paraId="02D2EE1C" w14:textId="77777777" w:rsidR="004D4E87" w:rsidRDefault="00CE2EFB" w:rsidP="00990F32">
      <w:pPr>
        <w:pStyle w:val="Odlomakpopisa"/>
        <w:numPr>
          <w:ilvl w:val="0"/>
          <w:numId w:val="23"/>
        </w:numPr>
        <w:spacing w:after="160" w:line="259" w:lineRule="auto"/>
        <w:jc w:val="both"/>
        <w:rPr>
          <w:i/>
        </w:rPr>
      </w:pPr>
      <w:r>
        <w:rPr>
          <w:i/>
        </w:rPr>
        <w:t xml:space="preserve">Otplata glavnice primljenih zajmova od državnog proračuna - s osnove povrata prema godišnjem obračunu poreza na dohodak - povrat u Državni proračun - iznos </w:t>
      </w:r>
      <w:r w:rsidRPr="001F0DD7">
        <w:rPr>
          <w:iCs/>
        </w:rPr>
        <w:t xml:space="preserve">od </w:t>
      </w:r>
      <w:r w:rsidR="001232C3">
        <w:rPr>
          <w:iCs/>
        </w:rPr>
        <w:t>122.570,24 eura</w:t>
      </w:r>
      <w:r>
        <w:rPr>
          <w:i/>
        </w:rPr>
        <w:t xml:space="preserve"> </w:t>
      </w:r>
      <w:r w:rsidR="008600C2">
        <w:rPr>
          <w:i/>
        </w:rPr>
        <w:t>(</w:t>
      </w:r>
      <w:r w:rsidR="00990F32">
        <w:rPr>
          <w:i/>
        </w:rPr>
        <w:t>konto</w:t>
      </w:r>
      <w:r w:rsidR="008600C2">
        <w:rPr>
          <w:i/>
        </w:rPr>
        <w:t xml:space="preserve"> 5471)</w:t>
      </w:r>
    </w:p>
    <w:p w14:paraId="710558F3" w14:textId="77777777" w:rsidR="00990F32" w:rsidRPr="00B41595" w:rsidRDefault="00990F32" w:rsidP="00990F32">
      <w:pPr>
        <w:pStyle w:val="Odlomakpopisa"/>
        <w:spacing w:after="160" w:line="259" w:lineRule="auto"/>
        <w:ind w:left="786"/>
        <w:jc w:val="both"/>
        <w:rPr>
          <w:i/>
        </w:rPr>
      </w:pPr>
    </w:p>
    <w:p w14:paraId="753245A2" w14:textId="77777777" w:rsidR="004C3184" w:rsidRPr="00435DE2" w:rsidRDefault="00DA72EF" w:rsidP="00B0431D">
      <w:pPr>
        <w:pStyle w:val="Odlomakpopisa"/>
        <w:spacing w:after="160" w:line="259" w:lineRule="auto"/>
        <w:ind w:left="0"/>
        <w:jc w:val="both"/>
        <w:rPr>
          <w:sz w:val="22"/>
          <w:szCs w:val="22"/>
        </w:rPr>
      </w:pPr>
      <w:r w:rsidRPr="00435DE2">
        <w:rPr>
          <w:b/>
          <w:sz w:val="22"/>
          <w:szCs w:val="22"/>
        </w:rPr>
        <w:t>Dom zdravlja:</w:t>
      </w:r>
      <w:r w:rsidR="002D274B" w:rsidRPr="00435DE2">
        <w:rPr>
          <w:sz w:val="22"/>
          <w:szCs w:val="22"/>
        </w:rPr>
        <w:t xml:space="preserve"> </w:t>
      </w:r>
      <w:r w:rsidRPr="00435DE2">
        <w:rPr>
          <w:sz w:val="22"/>
          <w:szCs w:val="22"/>
        </w:rPr>
        <w:t>otpl</w:t>
      </w:r>
      <w:r w:rsidR="00BE008F">
        <w:rPr>
          <w:sz w:val="22"/>
          <w:szCs w:val="22"/>
        </w:rPr>
        <w:t xml:space="preserve">aćeno u izvještajnom razdoblju </w:t>
      </w:r>
      <w:r w:rsidR="00990F32">
        <w:rPr>
          <w:b/>
          <w:sz w:val="22"/>
          <w:szCs w:val="22"/>
        </w:rPr>
        <w:t>221.550,17</w:t>
      </w:r>
      <w:r w:rsidR="008600C2">
        <w:rPr>
          <w:sz w:val="22"/>
          <w:szCs w:val="22"/>
        </w:rPr>
        <w:t xml:space="preserve"> (konto 54)</w:t>
      </w:r>
    </w:p>
    <w:p w14:paraId="24A6433A" w14:textId="77777777" w:rsidR="004C3184" w:rsidRPr="00AF5DAC" w:rsidRDefault="002D274B" w:rsidP="004C3184">
      <w:pPr>
        <w:pStyle w:val="Odlomakpopisa"/>
        <w:numPr>
          <w:ilvl w:val="0"/>
          <w:numId w:val="9"/>
        </w:numPr>
        <w:spacing w:after="160" w:line="259" w:lineRule="auto"/>
        <w:jc w:val="both"/>
        <w:rPr>
          <w:i/>
        </w:rPr>
      </w:pPr>
      <w:r w:rsidRPr="00AF5DAC">
        <w:rPr>
          <w:i/>
        </w:rPr>
        <w:t>dugoročni kredit</w:t>
      </w:r>
      <w:r w:rsidR="004C3184" w:rsidRPr="00AF5DAC">
        <w:rPr>
          <w:i/>
        </w:rPr>
        <w:t xml:space="preserve"> 1. </w:t>
      </w:r>
      <w:r w:rsidR="00DA72EF" w:rsidRPr="00AF5DAC">
        <w:rPr>
          <w:i/>
        </w:rPr>
        <w:t>– otplaćeno</w:t>
      </w:r>
      <w:r w:rsidR="00BE008F" w:rsidRPr="00AF5DAC">
        <w:rPr>
          <w:i/>
        </w:rPr>
        <w:t xml:space="preserve"> u izvještajnom razdoblju </w:t>
      </w:r>
      <w:r w:rsidR="00990F32">
        <w:rPr>
          <w:i/>
        </w:rPr>
        <w:t>159.267,00 eura</w:t>
      </w:r>
    </w:p>
    <w:p w14:paraId="196DC6CA" w14:textId="77777777" w:rsidR="004C3184" w:rsidRPr="00DA72EF" w:rsidRDefault="00DA72EF" w:rsidP="004C3184">
      <w:pPr>
        <w:pStyle w:val="Odlomakpopisa"/>
        <w:spacing w:after="160" w:line="259" w:lineRule="auto"/>
        <w:jc w:val="both"/>
        <w:rPr>
          <w:i/>
        </w:rPr>
      </w:pPr>
      <w:r w:rsidRPr="00DA72EF">
        <w:rPr>
          <w:i/>
        </w:rPr>
        <w:t xml:space="preserve">- </w:t>
      </w:r>
      <w:r w:rsidR="004C3184" w:rsidRPr="00DA72EF">
        <w:rPr>
          <w:i/>
        </w:rPr>
        <w:t>za izgradnju nove zgrade Doma zdravlja Čakovec; Međimurska županija – suglasnost temeljem čl. 90 Zakona o proračunu</w:t>
      </w:r>
      <w:r w:rsidR="002D274B" w:rsidRPr="00DA72EF">
        <w:rPr>
          <w:i/>
        </w:rPr>
        <w:t xml:space="preserve"> </w:t>
      </w:r>
      <w:r w:rsidR="004C3184" w:rsidRPr="00DA72EF">
        <w:rPr>
          <w:i/>
        </w:rPr>
        <w:t>– sredstva osigurana u državnom proračunu za decentralizirane funkcije</w:t>
      </w:r>
      <w:r w:rsidR="002D274B" w:rsidRPr="00DA72EF">
        <w:rPr>
          <w:i/>
        </w:rPr>
        <w:t xml:space="preserve"> – </w:t>
      </w:r>
      <w:r w:rsidR="004C3184" w:rsidRPr="00DA72EF">
        <w:rPr>
          <w:i/>
        </w:rPr>
        <w:t xml:space="preserve">ukupan iznos kredita </w:t>
      </w:r>
      <w:r w:rsidR="00312421">
        <w:rPr>
          <w:i/>
        </w:rPr>
        <w:t>1.592.673,7 eura (</w:t>
      </w:r>
      <w:r w:rsidR="004C3184" w:rsidRPr="00DA72EF">
        <w:rPr>
          <w:i/>
        </w:rPr>
        <w:t>12.000.000,00 kn</w:t>
      </w:r>
      <w:r w:rsidR="00312421">
        <w:rPr>
          <w:i/>
        </w:rPr>
        <w:t>)</w:t>
      </w:r>
      <w:r w:rsidR="004C3184" w:rsidRPr="00DA72EF">
        <w:rPr>
          <w:i/>
        </w:rPr>
        <w:t xml:space="preserve">, ugovor 447/18 - Splitska banka, od 01.12.2018. OTP banka, </w:t>
      </w:r>
      <w:r w:rsidRPr="00DA72EF">
        <w:rPr>
          <w:i/>
        </w:rPr>
        <w:t xml:space="preserve">ugovorena </w:t>
      </w:r>
      <w:r w:rsidR="004C3184" w:rsidRPr="00DA72EF">
        <w:rPr>
          <w:i/>
        </w:rPr>
        <w:t>kamat</w:t>
      </w:r>
      <w:r w:rsidRPr="00DA72EF">
        <w:rPr>
          <w:i/>
        </w:rPr>
        <w:t>na stopa</w:t>
      </w:r>
      <w:r w:rsidR="004C3184" w:rsidRPr="00DA72EF">
        <w:rPr>
          <w:i/>
        </w:rPr>
        <w:t xml:space="preserve"> 1,75%</w:t>
      </w:r>
    </w:p>
    <w:p w14:paraId="236FE822" w14:textId="77777777" w:rsidR="00DA72EF" w:rsidRDefault="00DA72EF" w:rsidP="00DA72EF">
      <w:pPr>
        <w:pStyle w:val="Odlomakpopisa"/>
        <w:numPr>
          <w:ilvl w:val="0"/>
          <w:numId w:val="9"/>
        </w:numPr>
        <w:spacing w:after="160" w:line="259" w:lineRule="auto"/>
        <w:jc w:val="both"/>
      </w:pPr>
      <w:r>
        <w:t>dugoročni kredit 2. – otplać</w:t>
      </w:r>
      <w:r w:rsidR="00BE008F">
        <w:t xml:space="preserve">eno u izvještajnom razdoblju </w:t>
      </w:r>
      <w:r w:rsidR="00990F32">
        <w:rPr>
          <w:bCs/>
        </w:rPr>
        <w:t>46.453,00 eura</w:t>
      </w:r>
    </w:p>
    <w:p w14:paraId="17293566" w14:textId="77777777" w:rsidR="00AF5DAC" w:rsidRDefault="00DA72EF" w:rsidP="00AF5DAC">
      <w:pPr>
        <w:pStyle w:val="Odlomakpopisa"/>
        <w:spacing w:line="259" w:lineRule="auto"/>
        <w:jc w:val="both"/>
        <w:rPr>
          <w:i/>
        </w:rPr>
      </w:pPr>
      <w:r w:rsidRPr="00DA72EF">
        <w:rPr>
          <w:i/>
        </w:rPr>
        <w:t xml:space="preserve">- za izgradnju nove zgrade Doma zdravlja Čakovec; Međimurska županija – suglasnost temeljem čl. 90 Zakona o proračunu – sredstva osigurana u državnom proračunu za decentralizirane funkcije – ukupan iznos kredita </w:t>
      </w:r>
      <w:r w:rsidR="00312421">
        <w:rPr>
          <w:i/>
        </w:rPr>
        <w:t>464.529,83 eura (</w:t>
      </w:r>
      <w:r w:rsidRPr="00DA72EF">
        <w:rPr>
          <w:i/>
        </w:rPr>
        <w:t>3.500.000,00 kn</w:t>
      </w:r>
      <w:r w:rsidR="00312421">
        <w:rPr>
          <w:i/>
        </w:rPr>
        <w:t>)</w:t>
      </w:r>
      <w:r w:rsidRPr="00DA72EF">
        <w:rPr>
          <w:i/>
        </w:rPr>
        <w:t>, ugovor 117/19 - OTP banka, od 25.01.2019., ugovorena kamatna stopa 1,75%</w:t>
      </w:r>
    </w:p>
    <w:p w14:paraId="22F243C0" w14:textId="77777777" w:rsidR="00AF5DAC" w:rsidRPr="00AF5DAC" w:rsidRDefault="00AF5DAC" w:rsidP="004435CA">
      <w:pPr>
        <w:spacing w:line="259" w:lineRule="auto"/>
        <w:ind w:left="480"/>
        <w:jc w:val="both"/>
        <w:rPr>
          <w:i/>
        </w:rPr>
      </w:pPr>
      <w:r w:rsidRPr="00AF5DAC">
        <w:rPr>
          <w:i/>
        </w:rPr>
        <w:lastRenderedPageBreak/>
        <w:t xml:space="preserve">3. </w:t>
      </w:r>
      <w:r w:rsidRPr="004435CA">
        <w:rPr>
          <w:iCs/>
        </w:rPr>
        <w:t xml:space="preserve">dani zajmovi trgovačkim društvima – izdatak u iznosu od </w:t>
      </w:r>
      <w:r w:rsidR="00990F32">
        <w:rPr>
          <w:iCs/>
        </w:rPr>
        <w:t>15.830,17 eura</w:t>
      </w:r>
      <w:r w:rsidRPr="004435CA">
        <w:rPr>
          <w:iCs/>
        </w:rPr>
        <w:t xml:space="preserve"> </w:t>
      </w:r>
      <w:r>
        <w:rPr>
          <w:i/>
        </w:rPr>
        <w:t>– odobrena je prodaja dugotrajne nefinancijske imovine na rate, odnosno robni zajam nos</w:t>
      </w:r>
      <w:r w:rsidR="004435CA">
        <w:rPr>
          <w:i/>
        </w:rPr>
        <w:t>i</w:t>
      </w:r>
      <w:r>
        <w:rPr>
          <w:i/>
        </w:rPr>
        <w:t>teljima privatne prakse u Čakovcu</w:t>
      </w:r>
    </w:p>
    <w:p w14:paraId="431DF158" w14:textId="77777777" w:rsidR="00A24BAA" w:rsidRDefault="00A24BAA" w:rsidP="00A24BAA">
      <w:pPr>
        <w:tabs>
          <w:tab w:val="left" w:pos="1041"/>
          <w:tab w:val="left" w:pos="7253"/>
          <w:tab w:val="left" w:pos="10955"/>
        </w:tabs>
        <w:jc w:val="both"/>
        <w:rPr>
          <w:rFonts w:ascii="Arial" w:hAnsi="Arial" w:cs="Arial"/>
        </w:rPr>
      </w:pPr>
    </w:p>
    <w:p w14:paraId="6EC09994" w14:textId="77777777" w:rsidR="00285A95" w:rsidRPr="002671C7" w:rsidRDefault="00A24BAA" w:rsidP="002671C7">
      <w:pPr>
        <w:tabs>
          <w:tab w:val="left" w:pos="1041"/>
          <w:tab w:val="left" w:pos="7253"/>
          <w:tab w:val="left" w:pos="10955"/>
        </w:tabs>
        <w:spacing w:line="276" w:lineRule="auto"/>
        <w:jc w:val="both"/>
        <w:rPr>
          <w:i/>
        </w:rPr>
      </w:pPr>
      <w:r w:rsidRPr="002671C7">
        <w:t>U odnosu na prethodno razdoblje izdaci za financijsku imovinu i otplate zajmova su manji jer je Međimurska županija u prethodnom razdoblju platila obveze u iznosu od 1.327.228,08 eura po kratkoročnom zaduženju prema Ugovoru o kreditu dok u ovom razdoblju nema takvog izdatka. Uz to postojale su i neke manje otplate od drugih proračunskih korisnika, a istih nema u ovom razdoblju. Povrat glavnice po kreditu od strane Doma zdravlja koji se financira iz decentraliziranih sredstava u iznosu od 205.720,00 eura istovjetan je otplati u prethodnom razdoblju.</w:t>
      </w:r>
    </w:p>
    <w:p w14:paraId="6DD0B015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jc w:val="both"/>
        <w:rPr>
          <w:i/>
          <w:sz w:val="22"/>
          <w:szCs w:val="22"/>
        </w:rPr>
      </w:pPr>
    </w:p>
    <w:p w14:paraId="7A00166D" w14:textId="77777777" w:rsidR="008C65AE" w:rsidRPr="00285A95" w:rsidRDefault="000B7C91" w:rsidP="00285A95">
      <w:pPr>
        <w:tabs>
          <w:tab w:val="left" w:pos="1041"/>
          <w:tab w:val="left" w:pos="7253"/>
          <w:tab w:val="left" w:pos="10955"/>
        </w:tabs>
        <w:jc w:val="both"/>
        <w:rPr>
          <w:iCs/>
          <w:sz w:val="22"/>
          <w:szCs w:val="22"/>
        </w:rPr>
      </w:pPr>
      <w:r w:rsidRPr="00285A95">
        <w:rPr>
          <w:b/>
        </w:rPr>
        <w:t xml:space="preserve">POSEBNI </w:t>
      </w:r>
      <w:r w:rsidR="00815538" w:rsidRPr="00285A95">
        <w:rPr>
          <w:b/>
        </w:rPr>
        <w:t>DIO PRORAČUNA</w:t>
      </w:r>
    </w:p>
    <w:p w14:paraId="70695D17" w14:textId="77777777" w:rsidR="002B71DD" w:rsidRDefault="002B71DD" w:rsidP="002B71DD">
      <w:pPr>
        <w:pStyle w:val="Odlomakpopisa"/>
        <w:ind w:left="1065"/>
        <w:jc w:val="both"/>
        <w:rPr>
          <w:b/>
          <w:noProof/>
        </w:rPr>
      </w:pPr>
    </w:p>
    <w:p w14:paraId="15252130" w14:textId="77777777" w:rsidR="00E9437C" w:rsidRDefault="0046541C" w:rsidP="0046541C">
      <w:pPr>
        <w:pStyle w:val="Odlomakpopisa"/>
        <w:ind w:left="426"/>
        <w:jc w:val="both"/>
        <w:rPr>
          <w:noProof/>
        </w:rPr>
      </w:pPr>
      <w:r w:rsidRPr="0046541C">
        <w:rPr>
          <w:noProof/>
        </w:rPr>
        <w:t xml:space="preserve">Posebni dio proračuna </w:t>
      </w:r>
      <w:r>
        <w:rPr>
          <w:noProof/>
        </w:rPr>
        <w:t>sadrži</w:t>
      </w:r>
      <w:r w:rsidR="001829F4">
        <w:rPr>
          <w:noProof/>
        </w:rPr>
        <w:t>:</w:t>
      </w:r>
    </w:p>
    <w:p w14:paraId="4C76DC38" w14:textId="77777777" w:rsidR="001829F4" w:rsidRDefault="001829F4" w:rsidP="0046541C">
      <w:pPr>
        <w:pStyle w:val="Odlomakpopisa"/>
        <w:ind w:left="426"/>
        <w:jc w:val="both"/>
        <w:rPr>
          <w:noProof/>
        </w:rPr>
      </w:pPr>
      <w:r>
        <w:rPr>
          <w:noProof/>
        </w:rPr>
        <w:t xml:space="preserve">- izvršenje po organizacijskoj klasifikaciji </w:t>
      </w:r>
      <w:r w:rsidRPr="007B6728">
        <w:rPr>
          <w:noProof/>
        </w:rPr>
        <w:t>(</w:t>
      </w:r>
      <w:r w:rsidR="007B6728" w:rsidRPr="007B6728">
        <w:rPr>
          <w:noProof/>
        </w:rPr>
        <w:t>str.1</w:t>
      </w:r>
      <w:r w:rsidR="00A24BAA">
        <w:rPr>
          <w:noProof/>
        </w:rPr>
        <w:t>5-str.16</w:t>
      </w:r>
      <w:r w:rsidR="00B776CF" w:rsidRPr="007B6728">
        <w:rPr>
          <w:noProof/>
        </w:rPr>
        <w:t>)</w:t>
      </w:r>
    </w:p>
    <w:p w14:paraId="06EB2983" w14:textId="4CB77222" w:rsidR="001829F4" w:rsidRDefault="001829F4" w:rsidP="0046541C">
      <w:pPr>
        <w:pStyle w:val="Odlomakpopisa"/>
        <w:ind w:left="426"/>
        <w:jc w:val="both"/>
        <w:rPr>
          <w:noProof/>
        </w:rPr>
      </w:pPr>
      <w:r>
        <w:rPr>
          <w:noProof/>
        </w:rPr>
        <w:t>- izvršenje po programskoj klasifikaciji</w:t>
      </w:r>
      <w:r w:rsidR="00B776CF">
        <w:rPr>
          <w:noProof/>
        </w:rPr>
        <w:t xml:space="preserve"> </w:t>
      </w:r>
      <w:r w:rsidR="007B6728" w:rsidRPr="007B6728">
        <w:rPr>
          <w:noProof/>
        </w:rPr>
        <w:t>(str.1</w:t>
      </w:r>
      <w:r w:rsidR="00A24BAA">
        <w:rPr>
          <w:noProof/>
        </w:rPr>
        <w:t>7</w:t>
      </w:r>
      <w:r w:rsidR="007B6728" w:rsidRPr="007B6728">
        <w:rPr>
          <w:noProof/>
        </w:rPr>
        <w:t>-str.14</w:t>
      </w:r>
      <w:r w:rsidR="00E84E0A">
        <w:rPr>
          <w:noProof/>
        </w:rPr>
        <w:t>0</w:t>
      </w:r>
      <w:r w:rsidR="00B776CF" w:rsidRPr="007B6728">
        <w:rPr>
          <w:noProof/>
        </w:rPr>
        <w:t>)</w:t>
      </w:r>
      <w:r w:rsidR="00B776CF">
        <w:rPr>
          <w:noProof/>
        </w:rPr>
        <w:t xml:space="preserve"> po programu, aktivnosti i projektu</w:t>
      </w:r>
    </w:p>
    <w:p w14:paraId="06A43FEA" w14:textId="77777777" w:rsidR="00B776CF" w:rsidRDefault="00B776CF" w:rsidP="00B776CF">
      <w:pPr>
        <w:ind w:left="426"/>
        <w:jc w:val="both"/>
        <w:rPr>
          <w:noProof/>
        </w:rPr>
      </w:pPr>
    </w:p>
    <w:p w14:paraId="6634A5C2" w14:textId="77777777" w:rsidR="00B776CF" w:rsidRPr="00B776CF" w:rsidRDefault="00B776CF" w:rsidP="00B776CF">
      <w:pPr>
        <w:ind w:left="426"/>
        <w:jc w:val="both"/>
        <w:rPr>
          <w:noProof/>
        </w:rPr>
      </w:pPr>
      <w:r w:rsidRPr="00B776CF">
        <w:rPr>
          <w:noProof/>
        </w:rPr>
        <w:t>Prema odredbama Pravilnika o polugodišnjem i godišnjem izvještaju o izvršenju proračuna, izvorni plan je proračun odnosno posljednje izmjene i dopune proračuna donesene od strane predstavničkog tijela. Tekući plan je proračun odnosno posljednje izmjene i dopune proračuna s uključenim naknadno izvršenim preraspodjelama.</w:t>
      </w:r>
    </w:p>
    <w:p w14:paraId="0CC7F4B2" w14:textId="77777777" w:rsidR="00B776CF" w:rsidRPr="00B776CF" w:rsidRDefault="00B776CF" w:rsidP="00B776CF">
      <w:pPr>
        <w:ind w:left="426"/>
        <w:jc w:val="both"/>
        <w:rPr>
          <w:noProof/>
        </w:rPr>
      </w:pPr>
      <w:r w:rsidRPr="00B776CF">
        <w:rPr>
          <w:noProof/>
        </w:rPr>
        <w:t xml:space="preserve">Preraspodjela sredstava planiranih u Proračun nije bilo te je tekući plan jednak izvornom planu odnosno Planu Proračuna </w:t>
      </w:r>
      <w:r>
        <w:rPr>
          <w:noProof/>
        </w:rPr>
        <w:t>Međimurske županije</w:t>
      </w:r>
      <w:r w:rsidRPr="00B776CF">
        <w:rPr>
          <w:noProof/>
        </w:rPr>
        <w:t xml:space="preserve"> za 202</w:t>
      </w:r>
      <w:r w:rsidR="00A24BAA">
        <w:rPr>
          <w:noProof/>
        </w:rPr>
        <w:t>3</w:t>
      </w:r>
      <w:r w:rsidRPr="00B776CF">
        <w:rPr>
          <w:noProof/>
        </w:rPr>
        <w:t>. godinu.</w:t>
      </w:r>
    </w:p>
    <w:p w14:paraId="6E0315BF" w14:textId="77777777" w:rsidR="005E3AB6" w:rsidRPr="005E3AB6" w:rsidRDefault="005E3AB6" w:rsidP="005E3AB6">
      <w:pPr>
        <w:jc w:val="both"/>
        <w:outlineLvl w:val="0"/>
      </w:pPr>
    </w:p>
    <w:p w14:paraId="07662C5D" w14:textId="77777777" w:rsidR="00B776CF" w:rsidRPr="00295BAF" w:rsidRDefault="00B776CF" w:rsidP="00D443A6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 w:rsidRPr="00295BAF">
        <w:rPr>
          <w:b/>
          <w:noProof/>
        </w:rPr>
        <w:t xml:space="preserve">IZVJEŠTAJ O ZADUŽIVANJU NA DOMAĆEM I STRANOM TRŽIŠTU NOVCA I KAPITALA </w:t>
      </w:r>
    </w:p>
    <w:p w14:paraId="75C09584" w14:textId="77777777" w:rsidR="00B776CF" w:rsidRDefault="00B776CF" w:rsidP="00B776CF">
      <w:pPr>
        <w:pStyle w:val="Odlomakpopisa"/>
        <w:ind w:left="426"/>
        <w:rPr>
          <w:noProof/>
        </w:rPr>
      </w:pPr>
    </w:p>
    <w:p w14:paraId="7834EFD2" w14:textId="77777777" w:rsidR="00322AE0" w:rsidRDefault="00577A2A" w:rsidP="00322AE0">
      <w:pPr>
        <w:pStyle w:val="Odlomakpopisa"/>
        <w:ind w:left="426"/>
        <w:jc w:val="both"/>
        <w:rPr>
          <w:noProof/>
        </w:rPr>
      </w:pPr>
      <w:r w:rsidRPr="00304AF6">
        <w:rPr>
          <w:noProof/>
        </w:rPr>
        <w:t>Međimurska županija je u 202</w:t>
      </w:r>
      <w:r w:rsidR="00116279" w:rsidRPr="00304AF6">
        <w:rPr>
          <w:noProof/>
        </w:rPr>
        <w:t>2</w:t>
      </w:r>
      <w:r w:rsidRPr="00304AF6">
        <w:rPr>
          <w:noProof/>
        </w:rPr>
        <w:t xml:space="preserve">. godini planirala kratkoročno zaduženje u iznosu od </w:t>
      </w:r>
      <w:r w:rsidR="00116279" w:rsidRPr="00304AF6">
        <w:rPr>
          <w:noProof/>
        </w:rPr>
        <w:t>1</w:t>
      </w:r>
      <w:r w:rsidRPr="00304AF6">
        <w:rPr>
          <w:noProof/>
        </w:rPr>
        <w:t xml:space="preserve">0.000.000,00 kuna, a za što je dobivena suglasnost predstavničkog tijela, na </w:t>
      </w:r>
      <w:r w:rsidR="00136BD6">
        <w:rPr>
          <w:noProof/>
        </w:rPr>
        <w:t>S</w:t>
      </w:r>
      <w:r w:rsidRPr="00304AF6">
        <w:rPr>
          <w:noProof/>
        </w:rPr>
        <w:t xml:space="preserve">jednici održanoj </w:t>
      </w:r>
      <w:r w:rsidR="00282789" w:rsidRPr="00304AF6">
        <w:rPr>
          <w:noProof/>
        </w:rPr>
        <w:t>17. prosinca</w:t>
      </w:r>
      <w:r>
        <w:rPr>
          <w:noProof/>
        </w:rPr>
        <w:t xml:space="preserve"> 202</w:t>
      </w:r>
      <w:r w:rsidR="00116279">
        <w:rPr>
          <w:noProof/>
        </w:rPr>
        <w:t>2</w:t>
      </w:r>
      <w:r>
        <w:rPr>
          <w:noProof/>
        </w:rPr>
        <w:t>. godine.</w:t>
      </w:r>
      <w:r w:rsidR="00322AE0">
        <w:rPr>
          <w:noProof/>
        </w:rPr>
        <w:t xml:space="preserve"> Navedeni iznos je iskoristila </w:t>
      </w:r>
      <w:r w:rsidR="00116279">
        <w:rPr>
          <w:noProof/>
        </w:rPr>
        <w:t>30</w:t>
      </w:r>
      <w:r w:rsidR="00322AE0">
        <w:rPr>
          <w:noProof/>
        </w:rPr>
        <w:t>. prosinca 202</w:t>
      </w:r>
      <w:r w:rsidR="00116279">
        <w:rPr>
          <w:noProof/>
        </w:rPr>
        <w:t>2</w:t>
      </w:r>
      <w:r w:rsidR="00322AE0">
        <w:rPr>
          <w:noProof/>
        </w:rPr>
        <w:t xml:space="preserve">. godine te je rok za povrat istog </w:t>
      </w:r>
      <w:r w:rsidR="00116279">
        <w:rPr>
          <w:noProof/>
        </w:rPr>
        <w:t>19</w:t>
      </w:r>
      <w:r w:rsidR="00322AE0">
        <w:rPr>
          <w:noProof/>
        </w:rPr>
        <w:t>. prosinca 202</w:t>
      </w:r>
      <w:r w:rsidR="00116279">
        <w:rPr>
          <w:noProof/>
        </w:rPr>
        <w:t>3</w:t>
      </w:r>
      <w:r w:rsidR="00322AE0">
        <w:rPr>
          <w:noProof/>
        </w:rPr>
        <w:t xml:space="preserve">. godine. </w:t>
      </w:r>
    </w:p>
    <w:p w14:paraId="21E149B2" w14:textId="77777777" w:rsidR="00322AE0" w:rsidRDefault="00322AE0" w:rsidP="00322AE0">
      <w:pPr>
        <w:pStyle w:val="Odlomakpopisa"/>
        <w:ind w:left="426"/>
        <w:jc w:val="both"/>
      </w:pPr>
      <w:r>
        <w:rPr>
          <w:noProof/>
        </w:rPr>
        <w:t>Osim zajma od kreditne institucije Međimurska županija je</w:t>
      </w:r>
      <w:r w:rsidR="00295BAF">
        <w:rPr>
          <w:noProof/>
        </w:rPr>
        <w:t xml:space="preserve"> 2022. godine</w:t>
      </w:r>
      <w:r>
        <w:rPr>
          <w:noProof/>
        </w:rPr>
        <w:t xml:space="preserve"> evidentirala zajam iz državnog proračuna kao dug za </w:t>
      </w:r>
      <w:r>
        <w:t>Povrate po poreznim prijavama građana za 202</w:t>
      </w:r>
      <w:r w:rsidR="00116279">
        <w:t>1</w:t>
      </w:r>
      <w:r>
        <w:t>. godinu, koji su realizirani tijekom 202</w:t>
      </w:r>
      <w:r w:rsidR="008F1429">
        <w:t>2</w:t>
      </w:r>
      <w:r>
        <w:t>. godine na način da su se građanima isplatila pripadajuća sredstva</w:t>
      </w:r>
      <w:r w:rsidR="00116279">
        <w:t xml:space="preserve">. </w:t>
      </w:r>
      <w:r>
        <w:t>Međimurskoj se županiji mjesečno umanjivao prihod poreza na dohodak počevši od kolovoza 202</w:t>
      </w:r>
      <w:r w:rsidR="00116279">
        <w:t>2</w:t>
      </w:r>
      <w:r>
        <w:t xml:space="preserve">. godine. Budući da </w:t>
      </w:r>
      <w:r w:rsidR="005B076A">
        <w:t xml:space="preserve">25% </w:t>
      </w:r>
      <w:r>
        <w:t>navedeni</w:t>
      </w:r>
      <w:r w:rsidR="005B076A">
        <w:t>h</w:t>
      </w:r>
      <w:r>
        <w:t xml:space="preserve"> porezni</w:t>
      </w:r>
      <w:r w:rsidR="005B076A">
        <w:t>h</w:t>
      </w:r>
      <w:r>
        <w:t xml:space="preserve"> prihod</w:t>
      </w:r>
      <w:r w:rsidR="005B076A">
        <w:t>a</w:t>
      </w:r>
      <w:r>
        <w:t xml:space="preserve"> ni</w:t>
      </w:r>
      <w:r w:rsidR="005B076A">
        <w:t>je</w:t>
      </w:r>
      <w:r>
        <w:t xml:space="preserve"> bil</w:t>
      </w:r>
      <w:r w:rsidR="005B076A">
        <w:t>o</w:t>
      </w:r>
      <w:r>
        <w:t xml:space="preserve"> dovoljn</w:t>
      </w:r>
      <w:r w:rsidR="005B076A">
        <w:t>o</w:t>
      </w:r>
      <w:r>
        <w:t xml:space="preserve"> </w:t>
      </w:r>
      <w:r w:rsidR="005B076A">
        <w:t>za pokriće</w:t>
      </w:r>
      <w:r>
        <w:t xml:space="preserve"> dug</w:t>
      </w:r>
      <w:r w:rsidR="005B076A">
        <w:t>a</w:t>
      </w:r>
      <w:r>
        <w:t xml:space="preserve"> prema Državnom proračunu u iznosu </w:t>
      </w:r>
      <w:r w:rsidR="00116279">
        <w:t>923.504,99</w:t>
      </w:r>
      <w:r w:rsidR="005B076A">
        <w:t xml:space="preserve"> kuna isti se evidentira kao beskamatni zajam s rokom </w:t>
      </w:r>
      <w:r w:rsidR="00116279">
        <w:t>povrata tijekom</w:t>
      </w:r>
      <w:r w:rsidR="005B076A">
        <w:t xml:space="preserve"> 202</w:t>
      </w:r>
      <w:r w:rsidR="00116279">
        <w:t>3</w:t>
      </w:r>
      <w:r w:rsidR="005B076A">
        <w:t>. godine. S</w:t>
      </w:r>
      <w:r>
        <w:t>ukladno Naputku o načinu uplaćivanja prihoda proračuna, obveznih doprinosa te prihoda za financiranje drugih javnih potreba u 202</w:t>
      </w:r>
      <w:r w:rsidR="00116279">
        <w:t>2</w:t>
      </w:r>
      <w:r>
        <w:t xml:space="preserve">. godini (NN 11/21, 49/21 i 73/21) </w:t>
      </w:r>
      <w:r w:rsidR="005B076A">
        <w:t>tijekom 202</w:t>
      </w:r>
      <w:r w:rsidR="00116279">
        <w:t>3</w:t>
      </w:r>
      <w:r w:rsidR="005B076A">
        <w:t xml:space="preserve">. godine se </w:t>
      </w:r>
      <w:r>
        <w:t>s računa Međimurske županije</w:t>
      </w:r>
      <w:r w:rsidR="005B076A">
        <w:t xml:space="preserve"> umanjuje prihod s osnove poreza</w:t>
      </w:r>
      <w:r>
        <w:t xml:space="preserve"> u 4 jednaka mjesečna obroka</w:t>
      </w:r>
      <w:r w:rsidR="005B076A">
        <w:t xml:space="preserve"> po </w:t>
      </w:r>
      <w:r w:rsidR="00116279">
        <w:t>230.876,25 kuna odnosno 30.642,55 eura.</w:t>
      </w:r>
    </w:p>
    <w:p w14:paraId="5AD4F59F" w14:textId="77777777" w:rsidR="00295BAF" w:rsidRPr="002671C7" w:rsidRDefault="00116279" w:rsidP="002671C7">
      <w:pPr>
        <w:pStyle w:val="Odlomakpopisa"/>
        <w:ind w:left="426"/>
        <w:jc w:val="both"/>
        <w:rPr>
          <w:sz w:val="22"/>
          <w:szCs w:val="22"/>
        </w:rPr>
      </w:pPr>
      <w:r>
        <w:t xml:space="preserve">Dom zdravlja je tijekom  2022. godine primio sredstva na ime povrata zajmova s osnove </w:t>
      </w:r>
      <w:r w:rsidRPr="00DD5F2D">
        <w:rPr>
          <w:sz w:val="22"/>
          <w:szCs w:val="22"/>
        </w:rPr>
        <w:t>odobren</w:t>
      </w:r>
      <w:r>
        <w:rPr>
          <w:sz w:val="22"/>
          <w:szCs w:val="22"/>
        </w:rPr>
        <w:t>e</w:t>
      </w:r>
      <w:r w:rsidRPr="00DD5F2D">
        <w:rPr>
          <w:sz w:val="22"/>
          <w:szCs w:val="22"/>
        </w:rPr>
        <w:t xml:space="preserve"> prodaj</w:t>
      </w:r>
      <w:r>
        <w:rPr>
          <w:sz w:val="22"/>
          <w:szCs w:val="22"/>
        </w:rPr>
        <w:t>e</w:t>
      </w:r>
      <w:r w:rsidRPr="00DD5F2D">
        <w:rPr>
          <w:sz w:val="22"/>
          <w:szCs w:val="22"/>
        </w:rPr>
        <w:t xml:space="preserve"> dugotrajne nefinancijske imovine na rate, odnosno robni zajam nositeljima privatne prakse u Čakovcu</w:t>
      </w:r>
      <w:r>
        <w:rPr>
          <w:sz w:val="22"/>
          <w:szCs w:val="22"/>
        </w:rPr>
        <w:t>.</w:t>
      </w:r>
    </w:p>
    <w:p w14:paraId="36DFCB4D" w14:textId="5F6A28FB" w:rsidR="002B0DA1" w:rsidRDefault="00295BAF" w:rsidP="00116279">
      <w:pPr>
        <w:pStyle w:val="Odlomakpopisa"/>
        <w:ind w:left="426"/>
        <w:jc w:val="both"/>
      </w:pPr>
      <w:r w:rsidRPr="00295BAF">
        <w:rPr>
          <w:b/>
        </w:rPr>
        <w:t>U polugodišnjem izvršenju proračuna Međimurske županije za 2023. godinu nije bilo primitaka od zaduživanja</w:t>
      </w:r>
      <w:r>
        <w:t xml:space="preserve"> te se primici od financijske imovine evidentiraju samo na ime povrata zajmova danih tuzemnim trgovačkim društvima izvan javnog sektora od strane Doma zdravlja u iznosu od 13.837,45 eura.</w:t>
      </w:r>
    </w:p>
    <w:p w14:paraId="06B31E32" w14:textId="77777777" w:rsidR="002B0DA1" w:rsidRDefault="002B0DA1">
      <w:pPr>
        <w:spacing w:after="160" w:line="259" w:lineRule="auto"/>
      </w:pPr>
      <w:r>
        <w:br w:type="page"/>
      </w:r>
    </w:p>
    <w:p w14:paraId="5245EB8C" w14:textId="77777777" w:rsidR="00295BAF" w:rsidRDefault="00295BAF" w:rsidP="00116279">
      <w:pPr>
        <w:pStyle w:val="Odlomakpopisa"/>
        <w:ind w:left="426"/>
        <w:jc w:val="both"/>
      </w:pPr>
    </w:p>
    <w:p w14:paraId="519AC1E9" w14:textId="77777777" w:rsidR="00DD43CE" w:rsidRDefault="00DD43CE" w:rsidP="005748A3">
      <w:pPr>
        <w:pStyle w:val="Odlomakpopisa"/>
        <w:ind w:left="1065"/>
        <w:jc w:val="both"/>
        <w:rPr>
          <w:b/>
          <w:noProof/>
          <w:highlight w:val="yellow"/>
        </w:rPr>
      </w:pPr>
    </w:p>
    <w:p w14:paraId="390DF245" w14:textId="77777777" w:rsidR="00B06985" w:rsidRPr="00835663" w:rsidRDefault="00B06985" w:rsidP="00D443A6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 w:rsidRPr="00835663">
        <w:rPr>
          <w:b/>
          <w:noProof/>
        </w:rPr>
        <w:t>IZVJEŠTAJ O KORIŠTENJU PRORAČUNSKE ZALIHE</w:t>
      </w:r>
      <w:r w:rsidR="00FE7C8D" w:rsidRPr="00835663">
        <w:rPr>
          <w:b/>
          <w:noProof/>
        </w:rPr>
        <w:t xml:space="preserve"> – TEKUĆE ZALIHE</w:t>
      </w:r>
    </w:p>
    <w:p w14:paraId="671406BF" w14:textId="77777777" w:rsidR="00223C42" w:rsidRDefault="00223C42" w:rsidP="00223C42">
      <w:pPr>
        <w:pStyle w:val="Tijeloteksta2"/>
        <w:rPr>
          <w:rFonts w:ascii="Times New Roman" w:hAnsi="Times New Roman" w:cs="Times New Roman"/>
          <w:noProof/>
          <w:lang w:eastAsia="en-US"/>
        </w:rPr>
      </w:pPr>
    </w:p>
    <w:p w14:paraId="0653CABF" w14:textId="77777777" w:rsidR="00990F32" w:rsidRDefault="00990F32" w:rsidP="00C05975">
      <w:pPr>
        <w:pStyle w:val="Tijeloteksta2"/>
        <w:jc w:val="both"/>
        <w:rPr>
          <w:rFonts w:ascii="Times New Roman" w:hAnsi="Times New Roman" w:cs="Times New Roman"/>
          <w:noProof/>
          <w:lang w:eastAsia="en-US"/>
        </w:rPr>
      </w:pPr>
    </w:p>
    <w:p w14:paraId="5795B071" w14:textId="77777777" w:rsidR="00251595" w:rsidRDefault="00251595" w:rsidP="00251595">
      <w:pPr>
        <w:pStyle w:val="Tijeloteksta2"/>
        <w:jc w:val="both"/>
        <w:rPr>
          <w:rFonts w:ascii="Times New Roman" w:hAnsi="Times New Roman" w:cs="Times New Roman"/>
          <w:noProof/>
          <w:lang w:eastAsia="en-US"/>
        </w:rPr>
      </w:pPr>
      <w:r>
        <w:rPr>
          <w:rFonts w:ascii="Times New Roman" w:hAnsi="Times New Roman" w:cs="Times New Roman"/>
          <w:noProof/>
          <w:lang w:eastAsia="en-US"/>
        </w:rPr>
        <w:t>S</w:t>
      </w:r>
      <w:r w:rsidRPr="00E80A17">
        <w:rPr>
          <w:rFonts w:ascii="Times New Roman" w:hAnsi="Times New Roman" w:cs="Times New Roman"/>
          <w:noProof/>
          <w:lang w:eastAsia="en-US"/>
        </w:rPr>
        <w:t xml:space="preserve">redstva proračunske zalihe mogu se koristiti </w:t>
      </w:r>
      <w:r>
        <w:rPr>
          <w:rFonts w:ascii="Times New Roman" w:hAnsi="Times New Roman" w:cs="Times New Roman"/>
          <w:noProof/>
          <w:lang w:eastAsia="en-US"/>
        </w:rPr>
        <w:t>sukladno članku 65</w:t>
      </w:r>
      <w:r w:rsidRPr="00E80A17">
        <w:rPr>
          <w:rFonts w:ascii="Times New Roman" w:hAnsi="Times New Roman" w:cs="Times New Roman"/>
          <w:noProof/>
          <w:lang w:eastAsia="en-US"/>
        </w:rPr>
        <w:t xml:space="preserve">. Zakona o proračunu („Narodne novine“ </w:t>
      </w:r>
      <w:r>
        <w:rPr>
          <w:rFonts w:ascii="Times New Roman" w:hAnsi="Times New Roman" w:cs="Times New Roman"/>
          <w:noProof/>
          <w:lang w:eastAsia="en-US"/>
        </w:rPr>
        <w:t>broj 144/2021</w:t>
      </w:r>
      <w:r w:rsidRPr="00E80A17">
        <w:rPr>
          <w:rFonts w:ascii="Times New Roman" w:hAnsi="Times New Roman" w:cs="Times New Roman"/>
          <w:noProof/>
          <w:lang w:eastAsia="en-US"/>
        </w:rPr>
        <w:t xml:space="preserve">) za </w:t>
      </w:r>
      <w:bookmarkStart w:id="1" w:name="_Hlk135988059"/>
      <w:r w:rsidRPr="00E80A17">
        <w:rPr>
          <w:rFonts w:ascii="Times New Roman" w:hAnsi="Times New Roman" w:cs="Times New Roman"/>
          <w:noProof/>
          <w:lang w:eastAsia="en-US"/>
        </w:rPr>
        <w:t>nepredviđene namjene za koje u proračunu nisu osigurana sredstva ili za namjene za koje se tijekom godine pokaže da za njih nisu utvrđena dostatna sredstva jer ih pri planiranju proračuna nije bilo moguće predvidjeti; za financiranje rashoda nastalih pri otklanjanju posljedica elementarnih nepogoda, epidemija, ekoloških nesreća ili izvanrednih događaja i ostalih nepredvidivih nesreća, te za druge nepredviđene rashode tijekom godine</w:t>
      </w:r>
      <w:bookmarkEnd w:id="1"/>
      <w:r w:rsidRPr="00E80A17">
        <w:rPr>
          <w:rFonts w:ascii="Times New Roman" w:hAnsi="Times New Roman" w:cs="Times New Roman"/>
          <w:noProof/>
          <w:lang w:eastAsia="en-US"/>
        </w:rPr>
        <w:t>.</w:t>
      </w:r>
      <w:r>
        <w:rPr>
          <w:rFonts w:ascii="Times New Roman" w:hAnsi="Times New Roman" w:cs="Times New Roman"/>
          <w:noProof/>
          <w:lang w:eastAsia="en-US"/>
        </w:rPr>
        <w:t xml:space="preserve"> </w:t>
      </w:r>
    </w:p>
    <w:p w14:paraId="249EBB97" w14:textId="77777777" w:rsidR="00251595" w:rsidRDefault="00251595" w:rsidP="00251595">
      <w:pPr>
        <w:pStyle w:val="Tijeloteksta2"/>
        <w:jc w:val="both"/>
        <w:rPr>
          <w:rFonts w:ascii="Times New Roman" w:hAnsi="Times New Roman" w:cs="Times New Roman"/>
          <w:noProof/>
          <w:lang w:eastAsia="en-US"/>
        </w:rPr>
      </w:pPr>
      <w:r w:rsidRPr="00C05975">
        <w:rPr>
          <w:rFonts w:ascii="Times New Roman" w:hAnsi="Times New Roman" w:cs="Times New Roman"/>
          <w:noProof/>
          <w:lang w:eastAsia="en-US"/>
        </w:rPr>
        <w:t>Međimurska županija je u svom proračunu za 202</w:t>
      </w:r>
      <w:r>
        <w:rPr>
          <w:rFonts w:ascii="Times New Roman" w:hAnsi="Times New Roman" w:cs="Times New Roman"/>
          <w:noProof/>
          <w:lang w:eastAsia="en-US"/>
        </w:rPr>
        <w:t>3</w:t>
      </w:r>
      <w:r w:rsidRPr="00C05975">
        <w:rPr>
          <w:rFonts w:ascii="Times New Roman" w:hAnsi="Times New Roman" w:cs="Times New Roman"/>
          <w:noProof/>
          <w:lang w:eastAsia="en-US"/>
        </w:rPr>
        <w:t>. godinu u sklopu Programa Financijski poslovi, Aktivnosti A101703 Tekuća zaliha osigural</w:t>
      </w:r>
      <w:r>
        <w:rPr>
          <w:rFonts w:ascii="Times New Roman" w:hAnsi="Times New Roman" w:cs="Times New Roman"/>
          <w:noProof/>
          <w:lang w:eastAsia="en-US"/>
        </w:rPr>
        <w:t>a sredstva u iznosu od 33.181,00 eura</w:t>
      </w:r>
      <w:r w:rsidRPr="00C05975">
        <w:rPr>
          <w:rFonts w:ascii="Times New Roman" w:hAnsi="Times New Roman" w:cs="Times New Roman"/>
          <w:noProof/>
          <w:lang w:eastAsia="en-US"/>
        </w:rPr>
        <w:t>. Navedena sredstva su predviđena za jednokratne pomoći za nepredviđene događaje i situacije. U nastavku slijedi prikaz izvršenih isplata temeljem akata donesenih od strane župana.</w:t>
      </w:r>
    </w:p>
    <w:p w14:paraId="788F4FD7" w14:textId="77777777" w:rsidR="00251595" w:rsidRDefault="00251595" w:rsidP="00251595">
      <w:pPr>
        <w:pStyle w:val="Tijeloteksta2"/>
        <w:jc w:val="both"/>
        <w:rPr>
          <w:rFonts w:ascii="Times New Roman" w:hAnsi="Times New Roman" w:cs="Times New Roman"/>
          <w:noProof/>
          <w:lang w:eastAsia="en-US"/>
        </w:rPr>
      </w:pPr>
    </w:p>
    <w:p w14:paraId="2CF6EFF4" w14:textId="77777777" w:rsidR="00990F32" w:rsidRPr="00DD43CE" w:rsidRDefault="00990F32" w:rsidP="00990F32">
      <w:pPr>
        <w:contextualSpacing/>
        <w:jc w:val="center"/>
        <w:rPr>
          <w:b/>
          <w:noProof/>
        </w:rPr>
      </w:pPr>
      <w:r w:rsidRPr="00DD43CE">
        <w:rPr>
          <w:b/>
          <w:noProof/>
        </w:rPr>
        <w:t xml:space="preserve">IZVJEŠĆE O KORIŠTENJU SREDSTAVA PRORAČUNSKE ZALIHE – TEKUĆE </w:t>
      </w:r>
      <w:r w:rsidR="00E84A59" w:rsidRPr="00DD43CE">
        <w:rPr>
          <w:b/>
          <w:noProof/>
        </w:rPr>
        <w:t>ZALIHE ZA RAZDOBLJE 01.01.</w:t>
      </w:r>
      <w:r w:rsidR="00251595">
        <w:rPr>
          <w:b/>
          <w:noProof/>
        </w:rPr>
        <w:t>2023.</w:t>
      </w:r>
      <w:r w:rsidR="00E84A59" w:rsidRPr="00DD43CE">
        <w:rPr>
          <w:b/>
          <w:noProof/>
        </w:rPr>
        <w:t>-3</w:t>
      </w:r>
      <w:r w:rsidR="00251595">
        <w:rPr>
          <w:b/>
          <w:noProof/>
        </w:rPr>
        <w:t>0</w:t>
      </w:r>
      <w:r w:rsidR="00E84A59" w:rsidRPr="00DD43CE">
        <w:rPr>
          <w:b/>
          <w:noProof/>
        </w:rPr>
        <w:t>.06</w:t>
      </w:r>
      <w:r w:rsidRPr="00DD43CE">
        <w:rPr>
          <w:b/>
          <w:noProof/>
        </w:rPr>
        <w:t>.202</w:t>
      </w:r>
      <w:r w:rsidR="00E84A59" w:rsidRPr="00DD43CE">
        <w:rPr>
          <w:b/>
          <w:noProof/>
        </w:rPr>
        <w:t>3</w:t>
      </w:r>
      <w:r w:rsidRPr="00DD43CE">
        <w:rPr>
          <w:b/>
          <w:noProof/>
        </w:rPr>
        <w:t>. GODINE</w:t>
      </w:r>
    </w:p>
    <w:p w14:paraId="18603F6E" w14:textId="77777777" w:rsidR="00990F32" w:rsidRPr="00DD43CE" w:rsidRDefault="00990F32" w:rsidP="00990F32">
      <w:pPr>
        <w:jc w:val="both"/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</w:tblGrid>
      <w:tr w:rsidR="00990F32" w:rsidRPr="00DD43CE" w14:paraId="60D8DCDC" w14:textId="77777777" w:rsidTr="00EF10A6">
        <w:trPr>
          <w:trHeight w:val="37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5FE" w14:textId="77777777" w:rsidR="00990F32" w:rsidRPr="00DD43CE" w:rsidRDefault="00990F32" w:rsidP="00EF10A6">
            <w:pPr>
              <w:jc w:val="center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</w:rPr>
              <w:t>Temelj isplate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629A" w14:textId="77777777" w:rsidR="00990F32" w:rsidRPr="00DD43CE" w:rsidRDefault="00990F32" w:rsidP="00EF10A6">
            <w:pPr>
              <w:jc w:val="center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</w:rPr>
              <w:t xml:space="preserve">Datum isplate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AC46" w14:textId="77777777" w:rsidR="00990F32" w:rsidRPr="00DD43CE" w:rsidRDefault="00990F32" w:rsidP="00EF10A6">
            <w:pPr>
              <w:jc w:val="right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</w:rPr>
              <w:t>Iznos isplate (euro)</w:t>
            </w:r>
          </w:p>
        </w:tc>
      </w:tr>
      <w:tr w:rsidR="00990F32" w:rsidRPr="00DD43CE" w14:paraId="41E81C22" w14:textId="77777777" w:rsidTr="00EF10A6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F2E" w14:textId="77777777" w:rsidR="00990F32" w:rsidRPr="00DD43CE" w:rsidRDefault="00990F32" w:rsidP="00EF10A6">
            <w:pPr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KLASA:402-08/23-02/2; UR.BROJ:2109-05/03-23-2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10F" w14:textId="77777777" w:rsidR="00990F32" w:rsidRPr="00DD43CE" w:rsidRDefault="00990F32" w:rsidP="00EF10A6">
            <w:pPr>
              <w:jc w:val="center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09.02.2023.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5DFB" w14:textId="77777777" w:rsidR="00990F32" w:rsidRPr="00DD43CE" w:rsidRDefault="00990F32" w:rsidP="00EF10A6">
            <w:pPr>
              <w:jc w:val="right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 xml:space="preserve">                    300,00    </w:t>
            </w:r>
          </w:p>
        </w:tc>
      </w:tr>
      <w:tr w:rsidR="00990F32" w:rsidRPr="00DD43CE" w14:paraId="0D800F5A" w14:textId="77777777" w:rsidTr="00EF10A6">
        <w:trPr>
          <w:trHeight w:val="3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15CE" w14:textId="77777777" w:rsidR="00990F32" w:rsidRPr="00DD43CE" w:rsidRDefault="00990F32" w:rsidP="00EF10A6">
            <w:pPr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KLASA:42-08/23-02/12; UR.BROJ:2109-05/03-23-3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DF6" w14:textId="77777777" w:rsidR="00990F32" w:rsidRPr="00DD43CE" w:rsidRDefault="00990F32" w:rsidP="00EF10A6">
            <w:pPr>
              <w:jc w:val="center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10.02.2023.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1A97" w14:textId="77777777" w:rsidR="00990F32" w:rsidRPr="00DD43CE" w:rsidRDefault="00990F32" w:rsidP="00EF10A6">
            <w:pPr>
              <w:jc w:val="right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 xml:space="preserve">                    500,00    </w:t>
            </w:r>
          </w:p>
        </w:tc>
      </w:tr>
      <w:tr w:rsidR="00DD43CE" w:rsidRPr="00DD43CE" w14:paraId="787B6A47" w14:textId="77777777" w:rsidTr="0026086B">
        <w:trPr>
          <w:trHeight w:val="4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AE90" w14:textId="77777777" w:rsidR="00DD43CE" w:rsidRPr="00DD43CE" w:rsidRDefault="00DD43CE" w:rsidP="0026086B">
            <w:pPr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KLASA:402-08/23-02/20; UR.BROJ:2109-01-23-2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D00" w14:textId="77777777" w:rsidR="00DD43CE" w:rsidRPr="00DD43CE" w:rsidRDefault="00DD43CE" w:rsidP="0026086B">
            <w:pPr>
              <w:jc w:val="center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16.03.2023.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05CD" w14:textId="77777777" w:rsidR="00DD43CE" w:rsidRPr="00DD43CE" w:rsidRDefault="00DD43CE" w:rsidP="0026086B">
            <w:pPr>
              <w:jc w:val="right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 xml:space="preserve">                    230,00    </w:t>
            </w:r>
          </w:p>
        </w:tc>
      </w:tr>
      <w:tr w:rsidR="00DD43CE" w:rsidRPr="00DD43CE" w14:paraId="0ABA3A39" w14:textId="77777777" w:rsidTr="00EF10A6">
        <w:trPr>
          <w:trHeight w:val="40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19B5" w14:textId="77777777" w:rsidR="00DD43CE" w:rsidRPr="00DD43CE" w:rsidRDefault="00DD43CE" w:rsidP="00DD43CE">
            <w:pPr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KLASA:402-08/23-02/32; UR.BROJ:2109-01-23-2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E98" w14:textId="77777777" w:rsidR="00DD43CE" w:rsidRPr="00DD43CE" w:rsidRDefault="00DD43CE" w:rsidP="0026086B">
            <w:pPr>
              <w:jc w:val="center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20.04.2023.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AEE4" w14:textId="77777777" w:rsidR="00DD43CE" w:rsidRPr="00DD43CE" w:rsidRDefault="00DD43CE" w:rsidP="00DD43CE">
            <w:pPr>
              <w:jc w:val="right"/>
              <w:rPr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 xml:space="preserve">                   160,00    </w:t>
            </w:r>
          </w:p>
        </w:tc>
      </w:tr>
      <w:tr w:rsidR="00DD43CE" w:rsidRPr="00DD43CE" w14:paraId="5B13F517" w14:textId="77777777" w:rsidTr="00EF10A6">
        <w:trPr>
          <w:trHeight w:val="408"/>
        </w:trPr>
        <w:tc>
          <w:tcPr>
            <w:tcW w:w="5098" w:type="dxa"/>
            <w:tcBorders>
              <w:top w:val="single" w:sz="4" w:space="0" w:color="auto"/>
              <w:right w:val="single" w:sz="4" w:space="0" w:color="auto"/>
            </w:tcBorders>
          </w:tcPr>
          <w:p w14:paraId="25584492" w14:textId="77777777" w:rsidR="00DD43CE" w:rsidRPr="00DD43CE" w:rsidRDefault="00DD43CE" w:rsidP="00EF10A6">
            <w:pPr>
              <w:rPr>
                <w:b/>
                <w:bCs/>
                <w:color w:val="000000"/>
              </w:rPr>
            </w:pPr>
            <w:r w:rsidRPr="00DD43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B60CB" w14:textId="77777777" w:rsidR="00DD43CE" w:rsidRPr="00DD43CE" w:rsidRDefault="00DD43CE" w:rsidP="00EF10A6">
            <w:pPr>
              <w:jc w:val="center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17B9" w14:textId="77777777" w:rsidR="00DD43CE" w:rsidRPr="00DD43CE" w:rsidRDefault="00DD43CE" w:rsidP="00DD43CE">
            <w:pPr>
              <w:jc w:val="right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 xml:space="preserve">                1.190,00    </w:t>
            </w:r>
          </w:p>
        </w:tc>
      </w:tr>
      <w:tr w:rsidR="00DD43CE" w:rsidRPr="00DD43CE" w14:paraId="56EF8F2E" w14:textId="77777777" w:rsidTr="00EF10A6">
        <w:trPr>
          <w:trHeight w:val="408"/>
        </w:trPr>
        <w:tc>
          <w:tcPr>
            <w:tcW w:w="5098" w:type="dxa"/>
            <w:tcBorders>
              <w:right w:val="single" w:sz="4" w:space="0" w:color="auto"/>
            </w:tcBorders>
          </w:tcPr>
          <w:p w14:paraId="27AE47E0" w14:textId="77777777" w:rsidR="00DD43CE" w:rsidRPr="00DD43CE" w:rsidRDefault="00DD43CE" w:rsidP="00EF10A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3204" w14:textId="77777777" w:rsidR="00DD43CE" w:rsidRPr="00DD43CE" w:rsidRDefault="00DD43CE" w:rsidP="00EF10A6">
            <w:pPr>
              <w:jc w:val="center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Planirano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B4E5" w14:textId="77777777" w:rsidR="00DD43CE" w:rsidRPr="00DD43CE" w:rsidRDefault="00DD43CE" w:rsidP="00EF10A6">
            <w:pPr>
              <w:jc w:val="right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33.181,00</w:t>
            </w:r>
          </w:p>
        </w:tc>
      </w:tr>
      <w:tr w:rsidR="00DD43CE" w:rsidRPr="00DD43CE" w14:paraId="2EB5FAF8" w14:textId="77777777" w:rsidTr="00EF10A6">
        <w:trPr>
          <w:trHeight w:val="408"/>
        </w:trPr>
        <w:tc>
          <w:tcPr>
            <w:tcW w:w="5098" w:type="dxa"/>
            <w:tcBorders>
              <w:right w:val="single" w:sz="4" w:space="0" w:color="auto"/>
            </w:tcBorders>
          </w:tcPr>
          <w:p w14:paraId="3F54B752" w14:textId="77777777" w:rsidR="00DD43CE" w:rsidRPr="00DD43CE" w:rsidRDefault="00DD43CE" w:rsidP="00EF10A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995F0" w14:textId="77777777" w:rsidR="00DD43CE" w:rsidRPr="00DD43CE" w:rsidRDefault="00DD43CE" w:rsidP="00EF10A6">
            <w:pPr>
              <w:jc w:val="center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Utrošeno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E729" w14:textId="77777777" w:rsidR="00DD43CE" w:rsidRPr="00DD43CE" w:rsidRDefault="00DD43CE" w:rsidP="00EF10A6">
            <w:pPr>
              <w:jc w:val="right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1.190,00</w:t>
            </w:r>
          </w:p>
        </w:tc>
      </w:tr>
      <w:tr w:rsidR="00DD43CE" w:rsidRPr="00244080" w14:paraId="21309455" w14:textId="77777777" w:rsidTr="00EF10A6">
        <w:trPr>
          <w:trHeight w:val="408"/>
        </w:trPr>
        <w:tc>
          <w:tcPr>
            <w:tcW w:w="5098" w:type="dxa"/>
            <w:tcBorders>
              <w:right w:val="single" w:sz="4" w:space="0" w:color="auto"/>
            </w:tcBorders>
          </w:tcPr>
          <w:p w14:paraId="1669C54D" w14:textId="77777777" w:rsidR="00DD43CE" w:rsidRPr="00DD43CE" w:rsidRDefault="00DD43CE" w:rsidP="00EF10A6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E034" w14:textId="77777777" w:rsidR="00DD43CE" w:rsidRPr="00DD43CE" w:rsidRDefault="00DD43CE" w:rsidP="00EF10A6">
            <w:pPr>
              <w:jc w:val="center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Raspoloživi iznos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24CD" w14:textId="77777777" w:rsidR="00DD43CE" w:rsidRPr="00DD43CE" w:rsidRDefault="00DD43CE" w:rsidP="00EF10A6">
            <w:pPr>
              <w:jc w:val="right"/>
              <w:rPr>
                <w:b/>
                <w:bCs/>
                <w:color w:val="000000"/>
              </w:rPr>
            </w:pPr>
            <w:r w:rsidRPr="00DD43CE">
              <w:rPr>
                <w:b/>
                <w:bCs/>
                <w:color w:val="000000"/>
                <w:sz w:val="22"/>
                <w:szCs w:val="22"/>
              </w:rPr>
              <w:t>31.991,00</w:t>
            </w:r>
          </w:p>
        </w:tc>
      </w:tr>
    </w:tbl>
    <w:p w14:paraId="5FB73BC5" w14:textId="77777777" w:rsidR="00990F32" w:rsidRDefault="00990F32" w:rsidP="00990F32">
      <w:pPr>
        <w:jc w:val="both"/>
      </w:pPr>
    </w:p>
    <w:p w14:paraId="137CEBEE" w14:textId="77777777" w:rsidR="00B06985" w:rsidRDefault="00B06985" w:rsidP="00B06985">
      <w:pPr>
        <w:pStyle w:val="Odlomakpopisa"/>
        <w:ind w:left="0"/>
        <w:jc w:val="both"/>
        <w:rPr>
          <w:b/>
          <w:noProof/>
        </w:rPr>
      </w:pPr>
    </w:p>
    <w:p w14:paraId="3A73CA80" w14:textId="77777777" w:rsidR="00424156" w:rsidRDefault="00424156" w:rsidP="00D443A6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t>IZVJEŠTAJ O DANIM JAMSTVIMA I IZDACIMA PO JAMSTVIMA</w:t>
      </w:r>
    </w:p>
    <w:p w14:paraId="072C5D75" w14:textId="77777777" w:rsidR="00CE3AEA" w:rsidRDefault="00CE3AEA" w:rsidP="00CE3AEA">
      <w:pPr>
        <w:pStyle w:val="Odlomakpopisa"/>
        <w:ind w:left="1065"/>
        <w:jc w:val="both"/>
        <w:rPr>
          <w:b/>
          <w:noProof/>
        </w:rPr>
      </w:pPr>
    </w:p>
    <w:p w14:paraId="4C09F385" w14:textId="77777777" w:rsidR="00251595" w:rsidRDefault="00CE3AEA" w:rsidP="00CE3AEA">
      <w:pPr>
        <w:pStyle w:val="Tijeloteksta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Tijekom</w:t>
      </w:r>
      <w:r w:rsidR="00E84A59">
        <w:rPr>
          <w:rFonts w:ascii="Times New Roman" w:hAnsi="Times New Roman" w:cs="Times New Roman"/>
          <w:lang w:eastAsia="en-US"/>
        </w:rPr>
        <w:t xml:space="preserve"> prvog polugodišnjeg razdoblja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FF52E3">
        <w:rPr>
          <w:rFonts w:ascii="Times New Roman" w:hAnsi="Times New Roman" w:cs="Times New Roman"/>
          <w:lang w:eastAsia="en-US"/>
        </w:rPr>
        <w:t>20</w:t>
      </w:r>
      <w:r w:rsidR="00E84A59">
        <w:rPr>
          <w:rFonts w:ascii="Times New Roman" w:hAnsi="Times New Roman" w:cs="Times New Roman"/>
          <w:lang w:eastAsia="en-US"/>
        </w:rPr>
        <w:t>23</w:t>
      </w:r>
      <w:r w:rsidRPr="00FF52E3">
        <w:rPr>
          <w:rFonts w:ascii="Times New Roman" w:hAnsi="Times New Roman" w:cs="Times New Roman"/>
          <w:lang w:eastAsia="en-US"/>
        </w:rPr>
        <w:t>. godin</w:t>
      </w:r>
      <w:r>
        <w:rPr>
          <w:rFonts w:ascii="Times New Roman" w:hAnsi="Times New Roman" w:cs="Times New Roman"/>
          <w:lang w:eastAsia="en-US"/>
        </w:rPr>
        <w:t>e</w:t>
      </w:r>
      <w:r w:rsidRPr="00FF52E3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Međimurska županija nema evidentirana izdana</w:t>
      </w:r>
      <w:r w:rsidRPr="00FF52E3">
        <w:rPr>
          <w:rFonts w:ascii="Times New Roman" w:hAnsi="Times New Roman" w:cs="Times New Roman"/>
          <w:lang w:eastAsia="en-US"/>
        </w:rPr>
        <w:t xml:space="preserve"> nova jamstva</w:t>
      </w:r>
      <w:r>
        <w:rPr>
          <w:rFonts w:ascii="Times New Roman" w:hAnsi="Times New Roman" w:cs="Times New Roman"/>
          <w:lang w:eastAsia="en-US"/>
        </w:rPr>
        <w:t xml:space="preserve"> pravnim osobama u vlasništvu ili ustanovama čiji je osnivač</w:t>
      </w:r>
      <w:r w:rsidRPr="00FF52E3"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</w:t>
      </w:r>
      <w:r w:rsidR="00FB38A3">
        <w:rPr>
          <w:rFonts w:ascii="Times New Roman" w:hAnsi="Times New Roman" w:cs="Times New Roman"/>
          <w:lang w:eastAsia="en-US"/>
        </w:rPr>
        <w:t xml:space="preserve">te </w:t>
      </w:r>
      <w:r>
        <w:rPr>
          <w:rFonts w:ascii="Times New Roman" w:hAnsi="Times New Roman" w:cs="Times New Roman"/>
          <w:lang w:eastAsia="en-US"/>
        </w:rPr>
        <w:t>nije</w:t>
      </w:r>
      <w:r w:rsidRPr="00FF52E3">
        <w:rPr>
          <w:rFonts w:ascii="Times New Roman" w:hAnsi="Times New Roman" w:cs="Times New Roman"/>
          <w:lang w:eastAsia="en-US"/>
        </w:rPr>
        <w:t xml:space="preserve"> bilo protestiranih jamstava.</w:t>
      </w:r>
      <w:r w:rsidR="00FB38A3">
        <w:rPr>
          <w:rFonts w:ascii="Times New Roman" w:hAnsi="Times New Roman" w:cs="Times New Roman"/>
          <w:lang w:eastAsia="en-US"/>
        </w:rPr>
        <w:t xml:space="preserve"> </w:t>
      </w:r>
    </w:p>
    <w:p w14:paraId="34D020FD" w14:textId="77777777" w:rsidR="00CE3AEA" w:rsidRDefault="00FB38A3" w:rsidP="00CE3AEA">
      <w:pPr>
        <w:pStyle w:val="Tijeloteksta2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Jamstv</w:t>
      </w:r>
      <w:r w:rsidR="00AD63BF">
        <w:rPr>
          <w:rFonts w:ascii="Times New Roman" w:hAnsi="Times New Roman" w:cs="Times New Roman"/>
          <w:lang w:eastAsia="en-US"/>
        </w:rPr>
        <w:t>a</w:t>
      </w:r>
      <w:r>
        <w:rPr>
          <w:rFonts w:ascii="Times New Roman" w:hAnsi="Times New Roman" w:cs="Times New Roman"/>
          <w:lang w:eastAsia="en-US"/>
        </w:rPr>
        <w:t>/suglasnost</w:t>
      </w:r>
      <w:r w:rsidR="00AD63BF">
        <w:rPr>
          <w:rFonts w:ascii="Times New Roman" w:hAnsi="Times New Roman" w:cs="Times New Roman"/>
          <w:lang w:eastAsia="en-US"/>
        </w:rPr>
        <w:t>i</w:t>
      </w:r>
      <w:r>
        <w:rPr>
          <w:rFonts w:ascii="Times New Roman" w:hAnsi="Times New Roman" w:cs="Times New Roman"/>
          <w:lang w:eastAsia="en-US"/>
        </w:rPr>
        <w:t xml:space="preserve"> </w:t>
      </w:r>
      <w:r w:rsidR="00AD63BF">
        <w:rPr>
          <w:rFonts w:ascii="Times New Roman" w:hAnsi="Times New Roman" w:cs="Times New Roman"/>
          <w:lang w:eastAsia="en-US"/>
        </w:rPr>
        <w:t xml:space="preserve">izdana su od strane </w:t>
      </w:r>
      <w:r>
        <w:rPr>
          <w:rFonts w:ascii="Times New Roman" w:hAnsi="Times New Roman" w:cs="Times New Roman"/>
          <w:lang w:eastAsia="en-US"/>
        </w:rPr>
        <w:t>Međimurske županije prema Ministarstvu financija</w:t>
      </w:r>
      <w:r w:rsidR="00AD63BF">
        <w:rPr>
          <w:rFonts w:ascii="Times New Roman" w:hAnsi="Times New Roman" w:cs="Times New Roman"/>
          <w:lang w:eastAsia="en-US"/>
        </w:rPr>
        <w:t>, a</w:t>
      </w:r>
      <w:r>
        <w:rPr>
          <w:rFonts w:ascii="Times New Roman" w:hAnsi="Times New Roman" w:cs="Times New Roman"/>
          <w:lang w:eastAsia="en-US"/>
        </w:rPr>
        <w:t xml:space="preserve"> vezano uz d</w:t>
      </w:r>
      <w:r w:rsidR="009566C7">
        <w:rPr>
          <w:rFonts w:ascii="Times New Roman" w:hAnsi="Times New Roman" w:cs="Times New Roman"/>
          <w:lang w:eastAsia="en-US"/>
        </w:rPr>
        <w:t>va d</w:t>
      </w:r>
      <w:r>
        <w:rPr>
          <w:rFonts w:ascii="Times New Roman" w:hAnsi="Times New Roman" w:cs="Times New Roman"/>
          <w:lang w:eastAsia="en-US"/>
        </w:rPr>
        <w:t>ugoročn</w:t>
      </w:r>
      <w:r w:rsidR="009566C7">
        <w:rPr>
          <w:rFonts w:ascii="Times New Roman" w:hAnsi="Times New Roman" w:cs="Times New Roman"/>
          <w:lang w:eastAsia="en-US"/>
        </w:rPr>
        <w:t>a</w:t>
      </w:r>
      <w:r>
        <w:rPr>
          <w:rFonts w:ascii="Times New Roman" w:hAnsi="Times New Roman" w:cs="Times New Roman"/>
          <w:lang w:eastAsia="en-US"/>
        </w:rPr>
        <w:t xml:space="preserve"> kredit</w:t>
      </w:r>
      <w:r w:rsidR="009566C7">
        <w:rPr>
          <w:rFonts w:ascii="Times New Roman" w:hAnsi="Times New Roman" w:cs="Times New Roman"/>
          <w:lang w:eastAsia="en-US"/>
        </w:rPr>
        <w:t>a</w:t>
      </w:r>
      <w:r>
        <w:rPr>
          <w:rFonts w:ascii="Times New Roman" w:hAnsi="Times New Roman" w:cs="Times New Roman"/>
          <w:lang w:eastAsia="en-US"/>
        </w:rPr>
        <w:t xml:space="preserve"> Doma zdravlja za izgradnju </w:t>
      </w:r>
      <w:r w:rsidR="009566C7">
        <w:rPr>
          <w:rFonts w:ascii="Times New Roman" w:hAnsi="Times New Roman" w:cs="Times New Roman"/>
          <w:lang w:eastAsia="en-US"/>
        </w:rPr>
        <w:t xml:space="preserve">paviljona, prva suglasnost je izdana 2018. godine za kredit u iznosu od </w:t>
      </w:r>
      <w:r w:rsidR="00DD43CE" w:rsidRPr="00DD43CE">
        <w:rPr>
          <w:rFonts w:ascii="Times New Roman" w:hAnsi="Times New Roman" w:cs="Times New Roman"/>
          <w:lang w:eastAsia="en-US"/>
        </w:rPr>
        <w:t>1.592.673,7</w:t>
      </w:r>
      <w:r w:rsidR="00DD43CE">
        <w:rPr>
          <w:rFonts w:ascii="Times New Roman" w:hAnsi="Times New Roman" w:cs="Times New Roman"/>
          <w:lang w:eastAsia="en-US"/>
        </w:rPr>
        <w:t>0</w:t>
      </w:r>
      <w:r w:rsidR="00DD43CE" w:rsidRPr="00DD43CE">
        <w:rPr>
          <w:rFonts w:ascii="Times New Roman" w:hAnsi="Times New Roman" w:cs="Times New Roman"/>
          <w:lang w:eastAsia="en-US"/>
        </w:rPr>
        <w:t xml:space="preserve"> eura </w:t>
      </w:r>
      <w:r w:rsidR="00DD43CE">
        <w:rPr>
          <w:rFonts w:ascii="Times New Roman" w:hAnsi="Times New Roman" w:cs="Times New Roman"/>
          <w:lang w:eastAsia="en-US"/>
        </w:rPr>
        <w:t>(</w:t>
      </w:r>
      <w:r w:rsidR="009566C7">
        <w:rPr>
          <w:rFonts w:ascii="Times New Roman" w:hAnsi="Times New Roman" w:cs="Times New Roman"/>
          <w:lang w:eastAsia="en-US"/>
        </w:rPr>
        <w:t>12.000.000,00 kuna</w:t>
      </w:r>
      <w:r w:rsidR="00DD43CE">
        <w:rPr>
          <w:rFonts w:ascii="Times New Roman" w:hAnsi="Times New Roman" w:cs="Times New Roman"/>
          <w:lang w:eastAsia="en-US"/>
        </w:rPr>
        <w:t>)</w:t>
      </w:r>
      <w:r w:rsidR="009566C7">
        <w:rPr>
          <w:rFonts w:ascii="Times New Roman" w:hAnsi="Times New Roman" w:cs="Times New Roman"/>
          <w:lang w:eastAsia="en-US"/>
        </w:rPr>
        <w:t xml:space="preserve">, preostali iznos za otplatu je </w:t>
      </w:r>
      <w:r w:rsidR="00DD43CE" w:rsidRPr="00DD43CE">
        <w:rPr>
          <w:rFonts w:ascii="Times New Roman" w:hAnsi="Times New Roman" w:cs="Times New Roman"/>
          <w:lang w:eastAsia="en-US"/>
        </w:rPr>
        <w:t xml:space="preserve">159.267,00 eura </w:t>
      </w:r>
      <w:r w:rsidR="00DD43CE">
        <w:rPr>
          <w:rFonts w:ascii="Times New Roman" w:hAnsi="Times New Roman" w:cs="Times New Roman"/>
          <w:lang w:eastAsia="en-US"/>
        </w:rPr>
        <w:t>(1.200.000,00</w:t>
      </w:r>
      <w:r w:rsidR="009566C7">
        <w:rPr>
          <w:rFonts w:ascii="Times New Roman" w:hAnsi="Times New Roman" w:cs="Times New Roman"/>
          <w:lang w:eastAsia="en-US"/>
        </w:rPr>
        <w:t xml:space="preserve"> kuna</w:t>
      </w:r>
      <w:r w:rsidR="00DD43CE">
        <w:rPr>
          <w:rFonts w:ascii="Times New Roman" w:hAnsi="Times New Roman" w:cs="Times New Roman"/>
          <w:lang w:eastAsia="en-US"/>
        </w:rPr>
        <w:t>)</w:t>
      </w:r>
      <w:r w:rsidR="009566C7">
        <w:rPr>
          <w:rFonts w:ascii="Times New Roman" w:hAnsi="Times New Roman" w:cs="Times New Roman"/>
          <w:lang w:eastAsia="en-US"/>
        </w:rPr>
        <w:t xml:space="preserve"> i dospijeće je u </w:t>
      </w:r>
      <w:r w:rsidR="00DD43CE">
        <w:rPr>
          <w:rFonts w:ascii="Times New Roman" w:hAnsi="Times New Roman" w:cs="Times New Roman"/>
          <w:lang w:eastAsia="en-US"/>
        </w:rPr>
        <w:t>listopadu 2023. godine</w:t>
      </w:r>
      <w:r w:rsidR="009566C7">
        <w:rPr>
          <w:rFonts w:ascii="Times New Roman" w:hAnsi="Times New Roman" w:cs="Times New Roman"/>
          <w:lang w:eastAsia="en-US"/>
        </w:rPr>
        <w:t xml:space="preserve">, druga suglasnost je izdana 2019. godine za kredit u iznosu od </w:t>
      </w:r>
      <w:r w:rsidR="00DD43CE" w:rsidRPr="00DD43CE">
        <w:rPr>
          <w:rFonts w:ascii="Times New Roman" w:hAnsi="Times New Roman" w:cs="Times New Roman"/>
          <w:lang w:eastAsia="en-US"/>
        </w:rPr>
        <w:t xml:space="preserve">464.529,83 eura </w:t>
      </w:r>
      <w:r w:rsidR="00DD43CE">
        <w:rPr>
          <w:rFonts w:ascii="Times New Roman" w:hAnsi="Times New Roman" w:cs="Times New Roman"/>
          <w:lang w:eastAsia="en-US"/>
        </w:rPr>
        <w:t>(</w:t>
      </w:r>
      <w:r w:rsidR="009566C7">
        <w:rPr>
          <w:rFonts w:ascii="Times New Roman" w:hAnsi="Times New Roman" w:cs="Times New Roman"/>
          <w:lang w:eastAsia="en-US"/>
        </w:rPr>
        <w:t>3.500.000,00 kuna</w:t>
      </w:r>
      <w:r w:rsidR="00DD43CE">
        <w:rPr>
          <w:rFonts w:ascii="Times New Roman" w:hAnsi="Times New Roman" w:cs="Times New Roman"/>
          <w:lang w:eastAsia="en-US"/>
        </w:rPr>
        <w:t>)</w:t>
      </w:r>
      <w:r w:rsidR="009566C7">
        <w:rPr>
          <w:rFonts w:ascii="Times New Roman" w:hAnsi="Times New Roman" w:cs="Times New Roman"/>
          <w:lang w:eastAsia="en-US"/>
        </w:rPr>
        <w:t xml:space="preserve">, preostali iznos za otplatu je </w:t>
      </w:r>
      <w:r w:rsidR="00DD43CE">
        <w:rPr>
          <w:rFonts w:ascii="Times New Roman" w:hAnsi="Times New Roman" w:cs="Times New Roman"/>
          <w:lang w:eastAsia="en-US"/>
        </w:rPr>
        <w:t>46.452,50 eura (350.000,00</w:t>
      </w:r>
      <w:r w:rsidR="009566C7">
        <w:rPr>
          <w:rFonts w:ascii="Times New Roman" w:hAnsi="Times New Roman" w:cs="Times New Roman"/>
          <w:lang w:eastAsia="en-US"/>
        </w:rPr>
        <w:t xml:space="preserve"> kuna</w:t>
      </w:r>
      <w:r w:rsidR="00DD43CE">
        <w:rPr>
          <w:rFonts w:ascii="Times New Roman" w:hAnsi="Times New Roman" w:cs="Times New Roman"/>
          <w:lang w:eastAsia="en-US"/>
        </w:rPr>
        <w:t>)</w:t>
      </w:r>
      <w:r w:rsidR="009566C7">
        <w:rPr>
          <w:rFonts w:ascii="Times New Roman" w:hAnsi="Times New Roman" w:cs="Times New Roman"/>
          <w:lang w:eastAsia="en-US"/>
        </w:rPr>
        <w:t xml:space="preserve"> i dospijeće je u </w:t>
      </w:r>
      <w:r w:rsidR="00251595">
        <w:rPr>
          <w:rFonts w:ascii="Times New Roman" w:hAnsi="Times New Roman" w:cs="Times New Roman"/>
          <w:lang w:eastAsia="en-US"/>
        </w:rPr>
        <w:t>listopadu 2023. godine</w:t>
      </w:r>
      <w:r w:rsidR="009566C7">
        <w:rPr>
          <w:rFonts w:ascii="Times New Roman" w:hAnsi="Times New Roman" w:cs="Times New Roman"/>
          <w:lang w:eastAsia="en-US"/>
        </w:rPr>
        <w:t>.</w:t>
      </w:r>
    </w:p>
    <w:p w14:paraId="2F8E646D" w14:textId="77777777" w:rsidR="002671C7" w:rsidRDefault="002671C7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4AF6D43" w14:textId="77777777" w:rsidR="009E5CF2" w:rsidRDefault="009E5CF2">
      <w:pPr>
        <w:spacing w:after="160" w:line="259" w:lineRule="auto"/>
        <w:rPr>
          <w:noProof/>
        </w:rPr>
      </w:pPr>
    </w:p>
    <w:p w14:paraId="58FF57A3" w14:textId="77777777" w:rsidR="00285A95" w:rsidRDefault="002B71DD" w:rsidP="00D443A6">
      <w:pPr>
        <w:pStyle w:val="Odlomakpopisa"/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t>OBRAZLOŽENJE OSTVARENIH PRIHODA I PRIMITAKA TE RASHODA I IZDATAKA</w:t>
      </w:r>
      <w:r w:rsidR="00545D51">
        <w:rPr>
          <w:b/>
          <w:noProof/>
        </w:rPr>
        <w:t xml:space="preserve"> – OPĆI DIO</w:t>
      </w:r>
    </w:p>
    <w:p w14:paraId="56D2002D" w14:textId="77777777" w:rsidR="002671C7" w:rsidRDefault="002671C7" w:rsidP="00285A95">
      <w:pPr>
        <w:jc w:val="both"/>
        <w:outlineLvl w:val="0"/>
      </w:pPr>
    </w:p>
    <w:p w14:paraId="515D90C5" w14:textId="77777777" w:rsidR="00285A95" w:rsidRDefault="00285A95" w:rsidP="00285A95">
      <w:pPr>
        <w:jc w:val="both"/>
        <w:outlineLvl w:val="0"/>
      </w:pPr>
      <w:r w:rsidRPr="005043CC">
        <w:t>Obrazloženje ostvarenja prihoda i primitaka i rashoda i izdataka za</w:t>
      </w:r>
      <w:r>
        <w:t xml:space="preserve"> polugodišnje razdoblje 2023. godine</w:t>
      </w:r>
      <w:r w:rsidRPr="005043CC">
        <w:t xml:space="preserve"> dopunjuje podatke iz Računa prihoda i rashoda i Računa financiranja posebice obrazl</w:t>
      </w:r>
      <w:r>
        <w:t>oženjem</w:t>
      </w:r>
      <w:r w:rsidRPr="005043CC">
        <w:t xml:space="preserve"> odstupanja izvršenja u odnosu</w:t>
      </w:r>
      <w:r>
        <w:t xml:space="preserve"> na prethodno obračunsko razdoblje</w:t>
      </w:r>
      <w:r w:rsidR="00595FEB">
        <w:t xml:space="preserve"> kao i na plan,</w:t>
      </w:r>
      <w:r>
        <w:t xml:space="preserve"> a odnosi se na obrazloženje općeg dijela izvještaja o izvršenju proračuna i obuhvaća podatke kako Međimurske županije tako i njenih proračunskih korisnika.</w:t>
      </w:r>
    </w:p>
    <w:p w14:paraId="0D87A7EA" w14:textId="77777777" w:rsidR="00285A95" w:rsidRPr="00970840" w:rsidRDefault="00285A95" w:rsidP="00285A95">
      <w:pPr>
        <w:tabs>
          <w:tab w:val="left" w:pos="1041"/>
          <w:tab w:val="left" w:pos="7253"/>
          <w:tab w:val="left" w:pos="10955"/>
        </w:tabs>
        <w:spacing w:before="240"/>
        <w:ind w:left="576"/>
        <w:rPr>
          <w:rFonts w:ascii="Arial" w:hAnsi="Arial" w:cs="Arial"/>
          <w:bCs/>
          <w:sz w:val="28"/>
          <w:szCs w:val="28"/>
        </w:rPr>
      </w:pPr>
      <w:r w:rsidRPr="00970840">
        <w:rPr>
          <w:rFonts w:ascii="Arial" w:hAnsi="Arial" w:cs="Arial"/>
          <w:bCs/>
          <w:sz w:val="28"/>
          <w:szCs w:val="28"/>
        </w:rPr>
        <w:t>Prihodi iz redovnog poslovanja </w:t>
      </w:r>
    </w:p>
    <w:p w14:paraId="28418763" w14:textId="77777777" w:rsidR="00285A95" w:rsidRPr="0018093F" w:rsidRDefault="00285A95" w:rsidP="00285A95">
      <w:pPr>
        <w:tabs>
          <w:tab w:val="left" w:pos="1041"/>
          <w:tab w:val="left" w:pos="7253"/>
          <w:tab w:val="left" w:pos="10955"/>
        </w:tabs>
        <w:spacing w:before="240"/>
        <w:ind w:left="108"/>
        <w:jc w:val="both"/>
        <w:rPr>
          <w:bCs/>
        </w:rPr>
      </w:pPr>
      <w:r w:rsidRPr="0018093F">
        <w:rPr>
          <w:b/>
          <w:bCs/>
        </w:rPr>
        <w:t>Prihodi od poreza i</w:t>
      </w:r>
      <w:r>
        <w:rPr>
          <w:b/>
          <w:bCs/>
        </w:rPr>
        <w:t xml:space="preserve"> prireza – (</w:t>
      </w:r>
      <w:r w:rsidRPr="0018093F">
        <w:rPr>
          <w:b/>
          <w:bCs/>
        </w:rPr>
        <w:t>611</w:t>
      </w:r>
      <w:r>
        <w:rPr>
          <w:b/>
          <w:bCs/>
        </w:rPr>
        <w:t>)</w:t>
      </w:r>
      <w:r w:rsidRPr="0018093F">
        <w:rPr>
          <w:b/>
          <w:bCs/>
        </w:rPr>
        <w:t xml:space="preserve"> – </w:t>
      </w:r>
      <w:r w:rsidRPr="0018093F">
        <w:rPr>
          <w:bCs/>
        </w:rPr>
        <w:t xml:space="preserve">ostvareni prihodi od poreza i prireza na dohodak u odnosu na plan veći su za 3,01%, a u odnosu na prethodno razdoblje manji su za 3,5% i iznose 4.897.899,12 eura, manje ostvareni prihodi u odnosu na prethodno razdoblje nastali su zbog zaduženja za povrate poreza po godišnjim poreznim prijavama 2023. godine dok isti nisu bili zaduženi u prethodnom razdoblju. U ovom razdoblju u odnosu na prethodno zadužena je obveza povrata poreza po godišnjoj prijavi u iznosu od 1.735.815,11 eura (cto 6117), i znatno je veća u odnosu na prethodno razdoblje (579,78 eura) zbog različitog načina evidentiranja poreznih prihoda budući su se od rujna 2022. godine porezni prihodi počeli evidentirati sukladno naputku Fine. </w:t>
      </w:r>
    </w:p>
    <w:p w14:paraId="74F3B076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43C5945B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 xml:space="preserve">Porezi na imovinu – </w:t>
      </w:r>
      <w:r w:rsidRPr="0018093F">
        <w:rPr>
          <w:bCs/>
        </w:rPr>
        <w:t xml:space="preserve">naplaćeni su u iznosu od 7.766,45 eura </w:t>
      </w:r>
      <w:r>
        <w:rPr>
          <w:b/>
          <w:bCs/>
        </w:rPr>
        <w:t>(</w:t>
      </w:r>
      <w:r w:rsidRPr="0018093F">
        <w:rPr>
          <w:b/>
          <w:bCs/>
        </w:rPr>
        <w:t>613)</w:t>
      </w:r>
      <w:r w:rsidRPr="0018093F">
        <w:rPr>
          <w:bCs/>
        </w:rPr>
        <w:t xml:space="preserve"> što je za 80,5% u odnosu na prethodnu godinu i 43,15 % u odnosu na plan. Iznosom ne predstavlja značajnije odstupanje.</w:t>
      </w:r>
    </w:p>
    <w:p w14:paraId="0DD939B5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618795A4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>
        <w:rPr>
          <w:b/>
          <w:bCs/>
        </w:rPr>
        <w:t>Porezi na robu i usluge (</w:t>
      </w:r>
      <w:r w:rsidRPr="0018093F">
        <w:rPr>
          <w:b/>
          <w:bCs/>
        </w:rPr>
        <w:t xml:space="preserve">614) - </w:t>
      </w:r>
      <w:r w:rsidRPr="0018093F">
        <w:rPr>
          <w:bCs/>
        </w:rPr>
        <w:t>prihod ostvaren sa navedene osnove prikazuje povećanje prihoda u odnosu na prethodnu godinu u visini od 7,8 %. Obuhvaćeni su prihodi ostvareni od naplate poreza na korištenje dobara ili izvođenje aktivnosti (konto 61451 - Porez na cestovna motorna vozila) i Porez na dobitke od igara na sreću (konto 6147). Ostvarenje je veće u odnosu na plan za 9,62%.</w:t>
      </w:r>
    </w:p>
    <w:p w14:paraId="298499F5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5F131CA0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>Tekuće pomoći od m</w:t>
      </w:r>
      <w:r>
        <w:rPr>
          <w:b/>
          <w:bCs/>
        </w:rPr>
        <w:t>eđunarodnih organizacija (</w:t>
      </w:r>
      <w:r w:rsidRPr="0018093F">
        <w:rPr>
          <w:b/>
          <w:bCs/>
        </w:rPr>
        <w:t xml:space="preserve">6321) – </w:t>
      </w:r>
      <w:r w:rsidRPr="0018093F">
        <w:rPr>
          <w:bCs/>
        </w:rPr>
        <w:t>prihod ostvaren u ovom obračunskom razdoblju dok istog u prethodnom nije bilo, najvećim se dijelom odnosi na Dom zdravlja koja je primila iznos od 12.661,60 eura od strane Unicef-a, sredstva su financirana od strane Europske unije. EU Jamstvo za svako dijete”, inicijativa je Europske komisije pokrenuta s ciljem da najranjivija djeca u Europskoj uniji imaju pristup zdravstvenoj zaštiti, obrazovanju, uslugama skrbi za djecu, adekvatnim uvjetima stanovanja i kvalitetnoj prehrani. Sredstva su namijenjena za povećanje kvalitete primarne zdravstvene zaštite, odnosno sredstva  su iskorištena za kupnju opreme patronažnim sestrama, pedijatrima i obiteljskim liječnicima. Međimurske županija ostvarila je 917,52 eura također od organizacije Unicef za refundaciju troškova nastalih na sudjelovanju na završnoj konferenciji u Sofiji. Ostatak iznosa od 4.590,00 eura odnosi se na OŠ Podturen koja je također realizirala prihod od međunarodne organizacije UNICEF.</w:t>
      </w:r>
    </w:p>
    <w:p w14:paraId="7B3E110B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1720DAEB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>Kapitalne pomoći od m</w:t>
      </w:r>
      <w:r>
        <w:rPr>
          <w:b/>
          <w:bCs/>
        </w:rPr>
        <w:t>eđunarodnih organizacija (</w:t>
      </w:r>
      <w:r w:rsidRPr="0018093F">
        <w:rPr>
          <w:b/>
          <w:bCs/>
        </w:rPr>
        <w:t xml:space="preserve">6322) – </w:t>
      </w:r>
      <w:r w:rsidRPr="0018093F">
        <w:rPr>
          <w:bCs/>
        </w:rPr>
        <w:t>prihod je ostvario proračunski korisnik - Dom zdravlja za nabavu dugotrajne imovine u iznosu od 12.950,00 eura od strane Unicefa. Isti nije bio ostvaren tijekom prethodnog polugodišnjeg razdoblja.</w:t>
      </w:r>
    </w:p>
    <w:p w14:paraId="627B3007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2AEE6166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>Tekuće pomoći od</w:t>
      </w:r>
      <w:r>
        <w:rPr>
          <w:b/>
          <w:bCs/>
        </w:rPr>
        <w:t xml:space="preserve"> institucija i tijela EU (</w:t>
      </w:r>
      <w:r w:rsidRPr="0018093F">
        <w:rPr>
          <w:b/>
          <w:bCs/>
        </w:rPr>
        <w:t xml:space="preserve">6323) – </w:t>
      </w:r>
      <w:r w:rsidRPr="0018093F">
        <w:rPr>
          <w:bCs/>
        </w:rPr>
        <w:t>najvećim se dijelom prihod odnosi na Međimursku županiju (308.093,00 eura) i obuhvaća prihode ostvarene na osnovu sudjelovanja u projektu EDIC -  informacijskog centra IC Europe Direct, u iznosu od 30.400,00 eura (nastavak projekta iz prethodnih razdoblja), projekt No Bounderies u iznosu od 140.000,00 eura (novi projekt), projekt Medea u iznosu od 102.550,00 eura (novi projekt), Projekt SESE u iznosu od 35.143,00 eura (novi projekt).</w:t>
      </w:r>
    </w:p>
    <w:p w14:paraId="161B4C44" w14:textId="77777777" w:rsidR="00285A95" w:rsidRPr="0018093F" w:rsidRDefault="00285A95" w:rsidP="00285A95">
      <w:pPr>
        <w:spacing w:line="276" w:lineRule="auto"/>
        <w:rPr>
          <w:b/>
          <w:bCs/>
        </w:rPr>
      </w:pPr>
    </w:p>
    <w:p w14:paraId="304987BF" w14:textId="77777777" w:rsidR="00285A95" w:rsidRPr="0018093F" w:rsidRDefault="00285A95" w:rsidP="00285A95">
      <w:pPr>
        <w:spacing w:line="276" w:lineRule="auto"/>
        <w:ind w:left="108"/>
        <w:rPr>
          <w:rFonts w:eastAsia="Calibri"/>
          <w:lang w:eastAsia="en-US"/>
        </w:rPr>
      </w:pPr>
      <w:r w:rsidRPr="0018093F">
        <w:rPr>
          <w:b/>
          <w:bCs/>
        </w:rPr>
        <w:lastRenderedPageBreak/>
        <w:t>Tekuće pomoći od</w:t>
      </w:r>
      <w:r>
        <w:rPr>
          <w:b/>
          <w:bCs/>
        </w:rPr>
        <w:t xml:space="preserve"> institucija i tijela EU (</w:t>
      </w:r>
      <w:r w:rsidRPr="0018093F">
        <w:rPr>
          <w:b/>
          <w:bCs/>
        </w:rPr>
        <w:t xml:space="preserve">6331) – </w:t>
      </w:r>
      <w:r w:rsidRPr="0018093F">
        <w:rPr>
          <w:bCs/>
        </w:rPr>
        <w:t xml:space="preserve">prihod je najvećim dijelom ostvarila Međimurska županija (1.727.898,34 eura, 24% više u odnosu na prethodno razdoblje) i to za: </w:t>
      </w:r>
    </w:p>
    <w:p w14:paraId="0FE98953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261.919,50 eura – tekuće pomoći iz drž. proračuna – fiskalno izravnanje</w:t>
      </w:r>
    </w:p>
    <w:p w14:paraId="0D45EDF4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570.708,00 eura – sredstva za povjerene poslove državne uprave</w:t>
      </w:r>
    </w:p>
    <w:p w14:paraId="4EC650FA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14.579,94 eura – refundacija pogrebnih troškova za HRVI od Ministarstva branitelja</w:t>
      </w:r>
    </w:p>
    <w:p w14:paraId="291D6E86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 xml:space="preserve">3.987,15 eura - sredstva pomoći za sufinanciranje kamata poduzetničkih kredita </w:t>
      </w:r>
    </w:p>
    <w:p w14:paraId="6925CD24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797.422,13 eura - za sufinanciranje prijevoza učenika srednjih škola</w:t>
      </w:r>
    </w:p>
    <w:p w14:paraId="6A3BBC56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480,00 eura – tekuće pomoći iz gradskih proračuna, za refundaciju troškova izbora za nacionalne manjine (Grad Mursko Središće i grad Čakovec)</w:t>
      </w:r>
    </w:p>
    <w:p w14:paraId="10B51C6A" w14:textId="77777777" w:rsidR="00285A95" w:rsidRPr="0018093F" w:rsidRDefault="00285A95" w:rsidP="00285A95">
      <w:pPr>
        <w:numPr>
          <w:ilvl w:val="0"/>
          <w:numId w:val="22"/>
        </w:numPr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78.801,62 - tekuće pomoći iz općinskih proračuna, potporu općine Kotoriba (30.603,82 eura) za rad - Tim hitne Kotoriba i Općine Nedelišće za rad obiteljskog liječnika (2.389,01 eura), sufinanciranje Općine Nedelišće za izradu tehničko-projektne dokumentacije Centra za starije i nemoćne (34.781,80 eura), refundacija troškova izbora za nacionalne manjine (4.137,56 eura), sufinanciranje troškova prijevoza učenika (6.889,43 eura)</w:t>
      </w:r>
    </w:p>
    <w:p w14:paraId="0F0FDAF0" w14:textId="77777777" w:rsidR="00285A95" w:rsidRPr="0018093F" w:rsidRDefault="00285A95" w:rsidP="00285A95">
      <w:pPr>
        <w:rPr>
          <w:b/>
          <w:bCs/>
        </w:rPr>
      </w:pPr>
    </w:p>
    <w:p w14:paraId="6E4EE727" w14:textId="77777777" w:rsidR="00285A95" w:rsidRPr="0018093F" w:rsidRDefault="00285A95" w:rsidP="00285A95">
      <w:pPr>
        <w:ind w:left="108"/>
        <w:jc w:val="both"/>
        <w:rPr>
          <w:rFonts w:eastAsia="Calibri"/>
          <w:lang w:eastAsia="en-US"/>
        </w:rPr>
      </w:pPr>
      <w:r w:rsidRPr="0018093F">
        <w:rPr>
          <w:b/>
          <w:bCs/>
        </w:rPr>
        <w:t>Kapitalne pomoći od</w:t>
      </w:r>
      <w:r>
        <w:rPr>
          <w:b/>
          <w:bCs/>
        </w:rPr>
        <w:t xml:space="preserve"> institucija i tijela EU (</w:t>
      </w:r>
      <w:r w:rsidRPr="0018093F">
        <w:rPr>
          <w:b/>
          <w:bCs/>
        </w:rPr>
        <w:t xml:space="preserve">6332) – </w:t>
      </w:r>
      <w:r w:rsidRPr="0018093F">
        <w:rPr>
          <w:bCs/>
        </w:rPr>
        <w:t>prihod je najvećim dijelom ostvarila Međimurska županija (35.078,63 eura, prethodno razdoblje 0,00 eura),</w:t>
      </w:r>
      <w:r w:rsidRPr="0018093F">
        <w:rPr>
          <w:rFonts w:eastAsia="Calibri"/>
          <w:lang w:eastAsia="en-US"/>
        </w:rPr>
        <w:t xml:space="preserve"> a odnosi se na:</w:t>
      </w:r>
    </w:p>
    <w:p w14:paraId="6406A552" w14:textId="77777777" w:rsidR="00285A95" w:rsidRPr="0018093F" w:rsidRDefault="00285A95" w:rsidP="00285A95">
      <w:pPr>
        <w:numPr>
          <w:ilvl w:val="0"/>
          <w:numId w:val="15"/>
        </w:numPr>
        <w:spacing w:line="276" w:lineRule="auto"/>
        <w:ind w:left="108"/>
        <w:jc w:val="both"/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6.476,87 eura – kapitalna pomoć za sustav navodnjavanja Belica koje se sufinancira u visini od 80% iznosa ukupno izvedenih radova</w:t>
      </w:r>
    </w:p>
    <w:p w14:paraId="6E013931" w14:textId="77777777" w:rsidR="00285A95" w:rsidRPr="0018093F" w:rsidRDefault="00285A95" w:rsidP="00285A95">
      <w:pPr>
        <w:numPr>
          <w:ilvl w:val="0"/>
          <w:numId w:val="15"/>
        </w:numPr>
        <w:spacing w:line="276" w:lineRule="auto"/>
        <w:ind w:left="108"/>
        <w:jc w:val="both"/>
        <w:rPr>
          <w:rFonts w:eastAsia="Calibri"/>
          <w:lang w:eastAsia="en-US"/>
        </w:rPr>
      </w:pPr>
      <w:r w:rsidRPr="0018093F">
        <w:rPr>
          <w:rFonts w:eastAsia="Calibri"/>
          <w:lang w:eastAsia="en-US"/>
        </w:rPr>
        <w:t>28.601,76 eura – kapitalna pomoć Općine Domašinec za sustav grijanja u Osnovnoj školi Domašinec</w:t>
      </w:r>
    </w:p>
    <w:p w14:paraId="3FFBF70D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40417714" w14:textId="77777777" w:rsidR="00285A95" w:rsidRPr="0018093F" w:rsidRDefault="00285A95" w:rsidP="00285A95">
      <w:pPr>
        <w:autoSpaceDE w:val="0"/>
        <w:autoSpaceDN w:val="0"/>
        <w:adjustRightInd w:val="0"/>
        <w:ind w:left="108"/>
        <w:jc w:val="both"/>
      </w:pPr>
      <w:r w:rsidRPr="0018093F">
        <w:rPr>
          <w:b/>
          <w:bCs/>
        </w:rPr>
        <w:t xml:space="preserve">Tekuće pomoći od izvanproračunskih korisnika (6341) – </w:t>
      </w:r>
      <w:r w:rsidRPr="0018093F">
        <w:t>obuhvaća prihode zdravstvenih institucija u iznosu od 292.575,76 eura i to za Županijsku bolnicu Čakovec u iznosu od 201.784,77 eura, za Zavod za hitnu medicinu u iznosu od 61.008,52 eura, Zavod za javno zdravstvo u iznosu od 2.437,54 eura i Dom zdravlja u iznosu od 27.344,93 eura. Najveće povećanje bilježi se kod Županijske bolnice Čakovec</w:t>
      </w:r>
      <w:bookmarkStart w:id="2" w:name="_Hlk108789477"/>
      <w:r w:rsidRPr="0018093F">
        <w:t xml:space="preserve">, a iznos u 2023.  godini znatno je veći jer se prema uputi na navedeni konto knjižio prihod od HZZO-a dobiven preko Županije za sanaciju lijekova i medicinskog potrošnog materijala u iznosu od 173.750 eura (u prethodnom razdoblju na konto 6361), dok se razlika odnosi na covid nagradu refundiranu od HZZO-a. </w:t>
      </w:r>
    </w:p>
    <w:p w14:paraId="2A820D70" w14:textId="77777777" w:rsidR="00285A95" w:rsidRPr="0018093F" w:rsidRDefault="00285A95" w:rsidP="00285A95">
      <w:pPr>
        <w:autoSpaceDE w:val="0"/>
        <w:autoSpaceDN w:val="0"/>
        <w:adjustRightInd w:val="0"/>
        <w:ind w:left="108"/>
      </w:pPr>
    </w:p>
    <w:p w14:paraId="5A4A4CFD" w14:textId="77777777" w:rsidR="00285A95" w:rsidRPr="0018093F" w:rsidRDefault="00285A95" w:rsidP="00285A95">
      <w:pPr>
        <w:ind w:left="108"/>
        <w:jc w:val="both"/>
      </w:pPr>
      <w:r w:rsidRPr="0018093F">
        <w:rPr>
          <w:b/>
          <w:bCs/>
        </w:rPr>
        <w:t xml:space="preserve">Kapitalne pomoći od izvanproračunskih korisnika (6342) – </w:t>
      </w:r>
      <w:r w:rsidRPr="0018093F">
        <w:t xml:space="preserve">obuhvaća </w:t>
      </w:r>
      <w:bookmarkEnd w:id="2"/>
      <w:r w:rsidRPr="0018093F">
        <w:t>najvećim dijelom sredstva Međimurske županije u iznosu od 388.108,97 eura, sredstva su ostvarena za energetsku obnovu Županijske bolnice Čakovec, a sukladno Zahtjevu za nadoknadu sredstava. U prethodnom je razdoblju na navedenom prihodu kod Međimurske županije evidentiran primitak sredstava za energetsku obnovu Doma za starije i nemoćne čija je obnova započela 2019. godine, a završena 2021. godine te se većina prihoda ostvarila u prethodnom razdoblju.</w:t>
      </w:r>
    </w:p>
    <w:p w14:paraId="6F7874CD" w14:textId="77777777" w:rsidR="00285A95" w:rsidRPr="0018093F" w:rsidRDefault="00285A95" w:rsidP="00285A95">
      <w:pPr>
        <w:ind w:left="108" w:hanging="578"/>
        <w:jc w:val="both"/>
      </w:pPr>
    </w:p>
    <w:p w14:paraId="7B25D614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rPr>
          <w:b/>
          <w:bCs/>
        </w:rPr>
      </w:pPr>
      <w:r w:rsidRPr="0018093F">
        <w:rPr>
          <w:b/>
          <w:bCs/>
        </w:rPr>
        <w:t xml:space="preserve">Pomoći izravnanja za decentralizirane funkcije </w:t>
      </w:r>
      <w:r>
        <w:rPr>
          <w:b/>
          <w:bCs/>
        </w:rPr>
        <w:t>(</w:t>
      </w:r>
      <w:r w:rsidRPr="0018093F">
        <w:rPr>
          <w:b/>
          <w:bCs/>
        </w:rPr>
        <w:t>635)</w:t>
      </w:r>
    </w:p>
    <w:p w14:paraId="7592B5F9" w14:textId="77777777" w:rsidR="00285A95" w:rsidRPr="0018093F" w:rsidRDefault="00285A95" w:rsidP="00285A95">
      <w:pPr>
        <w:ind w:left="108"/>
        <w:jc w:val="both"/>
      </w:pPr>
      <w:r w:rsidRPr="0018093F">
        <w:t>Prihod Međimurske županije koji iznosi 1.770.206,25 eura i to kako slijedi: za osnovne škole: 1.015.214,66 eura; srednje škole: 339.519,47 eura, Dom za starije i nemoćne osobe Čakovec 163.776,19 eura, zdravstvene ustanove: 251.695,93 eura.</w:t>
      </w:r>
    </w:p>
    <w:p w14:paraId="185C0347" w14:textId="77777777" w:rsidR="00285A95" w:rsidRPr="0018093F" w:rsidRDefault="00285A95" w:rsidP="00285A95">
      <w:pPr>
        <w:ind w:left="108" w:hanging="578"/>
        <w:jc w:val="both"/>
      </w:pPr>
    </w:p>
    <w:p w14:paraId="1CF66AF9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bookmarkStart w:id="3" w:name="_Hlk108790452"/>
      <w:r w:rsidRPr="0018093F">
        <w:rPr>
          <w:b/>
          <w:bCs/>
        </w:rPr>
        <w:t xml:space="preserve">Tekuće pomoći proračunskim korisnicima iz proračuna koji im nije nadležan </w:t>
      </w:r>
      <w:r>
        <w:rPr>
          <w:b/>
          <w:bCs/>
        </w:rPr>
        <w:t>(</w:t>
      </w:r>
      <w:r w:rsidRPr="0018093F">
        <w:rPr>
          <w:b/>
          <w:bCs/>
        </w:rPr>
        <w:t xml:space="preserve">6361) – </w:t>
      </w:r>
      <w:r w:rsidRPr="0018093F">
        <w:t xml:space="preserve">obuhvaća </w:t>
      </w:r>
      <w:bookmarkEnd w:id="3"/>
      <w:r w:rsidRPr="0018093F">
        <w:t>prihode proračunskih korisnika (najviši prihodi kod Muzeja Međimurja u iznosu od 2.849.446,42 eura), osnovnih (12.859.886,50 eura) i srednjih škola (5.532.291,31 eura), zdravstvenih ustanova (50.612,76 eura) te za Dom za starije i nemoćne osobe (2.663,56 eura) i za „Sigurnu kuću“ (28.466,97), povećanje se prvenstveno odnosi na pokrivanje rashoda za plaće zaposlenih koje su porasle u odnosu na prethodno promatrano razdoblje.</w:t>
      </w:r>
    </w:p>
    <w:p w14:paraId="3472A46E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2D1ADEDD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18093F">
        <w:rPr>
          <w:b/>
          <w:bCs/>
        </w:rPr>
        <w:t xml:space="preserve">Kapitalne pomoći proračunskim korisnicima iz proračuna koji im nije nadležan </w:t>
      </w:r>
      <w:r>
        <w:rPr>
          <w:b/>
          <w:bCs/>
        </w:rPr>
        <w:t>(</w:t>
      </w:r>
      <w:r w:rsidRPr="0018093F">
        <w:rPr>
          <w:b/>
          <w:bCs/>
        </w:rPr>
        <w:t xml:space="preserve">6362) – </w:t>
      </w:r>
      <w:r w:rsidRPr="0018093F">
        <w:t xml:space="preserve">obuhvaća prihode osnovnih škola u iznosu od 45.727,41 eura za pokrivanje kapitalnih rashoda, </w:t>
      </w:r>
      <w:r w:rsidRPr="0018093F">
        <w:lastRenderedPageBreak/>
        <w:t xml:space="preserve">značajnije smanjenje u odnosu na prvo polugodišnje razdoblje 2022. godine kod Tehničke škole Čakovec kada je pomoć iznosila 151.383,26 eura, a u ovom razdoblju Tehnička škola nema navedenih prihoda. </w:t>
      </w:r>
    </w:p>
    <w:p w14:paraId="7AE48206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2B5D13CC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 xml:space="preserve">Pomoći iz državnog proračuna temeljem prijenosa EU sredstava (638) </w:t>
      </w:r>
      <w:r w:rsidRPr="0018093F">
        <w:rPr>
          <w:bCs/>
        </w:rPr>
        <w:t xml:space="preserve">– smanjenje u odnosu na prethodno promatrano razdoblje, značajnije odstupanje odnosi se na prihode Tehničke škole Čakovec koja je u prethodnom polugodišnjem razdoblju ostvarila 72% prihoda više na ime kapitalnih pomoći temeljem prijenosa EU sredstava za izgradnju Regionalnog centra kompetencija, a za koji u ovom razdoblju ne bilježi prihode.  </w:t>
      </w:r>
    </w:p>
    <w:p w14:paraId="2CCD3714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57C6B60F" w14:textId="77777777" w:rsidR="00285A95" w:rsidRPr="0018093F" w:rsidRDefault="00285A95" w:rsidP="00285A95">
      <w:pPr>
        <w:ind w:left="108"/>
        <w:jc w:val="both"/>
      </w:pPr>
      <w:r w:rsidRPr="0018093F">
        <w:rPr>
          <w:b/>
        </w:rPr>
        <w:t>Prihodi iz dobiti trgovačkih društava, kreditnih i ostalih financijskih institucija (6417)</w:t>
      </w:r>
      <w:r w:rsidRPr="0018093F">
        <w:t xml:space="preserve"> – prihod Međimurske županije, u prethodnom je razdoblju Ljekarna Čakovec uplatila dio prihoda od dobiti za 2021. godinu u iznosu 26.544,56 eura dok je uplatu u ovom razdoblju izvršila u iznosu od 33.180,70 eura.</w:t>
      </w:r>
    </w:p>
    <w:p w14:paraId="7D433556" w14:textId="77777777" w:rsidR="00285A95" w:rsidRPr="0018093F" w:rsidRDefault="00285A95" w:rsidP="00285A95">
      <w:pPr>
        <w:ind w:left="108"/>
        <w:jc w:val="both"/>
      </w:pPr>
    </w:p>
    <w:p w14:paraId="166226EC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18093F">
        <w:rPr>
          <w:b/>
          <w:bCs/>
        </w:rPr>
        <w:t xml:space="preserve">Naknada za koncesije (6421) </w:t>
      </w:r>
      <w:r w:rsidRPr="0018093F">
        <w:rPr>
          <w:bCs/>
        </w:rPr>
        <w:t xml:space="preserve">– </w:t>
      </w:r>
      <w:r w:rsidRPr="0018093F">
        <w:t xml:space="preserve">obuhvaća prihode samo Međimurske županije u iznosu od 32.103,69 eura i to za ostvarene naknade za: koncesije na vodama i javnom vodnom dobru u iznosu od 5.873,67 eura, naknade za koncesije – plin i ambalažni otpad u iznosu od 13.272,28 eura, naknada za koncesije za obavljanje javne zdravstvene službe u iznosu od 12.300,54 eura te naknade za koncesije za korištenje poljoprivrednog zemljišta u vlasništvu države u iznosu od 657,20 eura. </w:t>
      </w:r>
    </w:p>
    <w:p w14:paraId="4E7BD6D1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7FECFAC5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18093F">
        <w:rPr>
          <w:b/>
          <w:bCs/>
        </w:rPr>
        <w:t xml:space="preserve">Prihodi od zakupa i iznajmljivanja imovine  (6422) </w:t>
      </w:r>
      <w:r w:rsidRPr="0018093F">
        <w:rPr>
          <w:bCs/>
        </w:rPr>
        <w:t xml:space="preserve">– </w:t>
      </w:r>
      <w:r w:rsidRPr="0018093F">
        <w:t>obuhvaća prihode Međimurske županije u iznosu od 23.641,82 eura</w:t>
      </w:r>
      <w:r w:rsidRPr="0018093F">
        <w:rPr>
          <w:rFonts w:eastAsia="Calibri"/>
          <w:bCs/>
          <w:lang w:eastAsia="en-US"/>
        </w:rPr>
        <w:t xml:space="preserve"> </w:t>
      </w:r>
      <w:r w:rsidRPr="0018093F">
        <w:t>kako slijedi: zakup  i iznajmljivanje imovine od najma poljoprivrednog zemljišta u iznosu od 21.571,64 eura, te za zakup poslovnih objekata  prema ispostavljenim računima u visini od 2.070,18 eura. Iznos od 1.556,49 eura evidentira OŠ Orehovica koja bilježi povećanje prihoda ostvarenih najmom dvorane.</w:t>
      </w:r>
    </w:p>
    <w:p w14:paraId="415D5885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p w14:paraId="3519B105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18093F">
        <w:rPr>
          <w:b/>
          <w:bCs/>
        </w:rPr>
        <w:t xml:space="preserve">Naknada za korištenje nefinancijske imovine (6423) </w:t>
      </w:r>
      <w:r w:rsidRPr="0018093F">
        <w:rPr>
          <w:bCs/>
        </w:rPr>
        <w:t xml:space="preserve">– </w:t>
      </w:r>
      <w:r w:rsidRPr="0018093F">
        <w:t>ukupno ostvareno 440.627,30 eura od strane Međimurske županije, najveći udio u naplati pripada naplati naknade za korištenje naftne luke, naftovoda i eksploataciju mineralnih sirovina-Plin u iznosu od 402.057,43 eura,  naknada za otkopanu količinu neener. min. sirovina iznosi 8.246,70 eura, a naknada za pridobivenu energiju, nafta i kondenzat iznosi 9.140,89 eura. Unutar navedene šifre bilježe se i prihodi za lovozakupninu u iznosu od 11.849,73 eura te prihodi za promjenu namjene poljoprivrednog zemljišta u iznosu od 9.332,55 eura.</w:t>
      </w:r>
    </w:p>
    <w:p w14:paraId="35A8EA54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p w14:paraId="2C32665E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 xml:space="preserve">Upravne i administrativne pristojbe (651) </w:t>
      </w:r>
      <w:r w:rsidRPr="0018093F">
        <w:rPr>
          <w:bCs/>
        </w:rPr>
        <w:t>– pristojbe naplaćene od strane Međimurske županije, prihod su Međimurske županije i u ovom su polugodišnjem razdoblju manje za 12,20%  u odnosu na prethodno usporedivo razdoblje.</w:t>
      </w:r>
    </w:p>
    <w:p w14:paraId="248DF36D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p w14:paraId="74C056D0" w14:textId="77777777" w:rsidR="00285A95" w:rsidRPr="0018093F" w:rsidRDefault="00285A95" w:rsidP="00285A95">
      <w:pPr>
        <w:autoSpaceDE w:val="0"/>
        <w:autoSpaceDN w:val="0"/>
        <w:adjustRightInd w:val="0"/>
        <w:ind w:left="108"/>
        <w:jc w:val="both"/>
      </w:pPr>
      <w:r>
        <w:rPr>
          <w:b/>
          <w:bCs/>
        </w:rPr>
        <w:t>Ostali nespomenuti prihodi (</w:t>
      </w:r>
      <w:r w:rsidRPr="0018093F">
        <w:rPr>
          <w:b/>
          <w:bCs/>
        </w:rPr>
        <w:t xml:space="preserve">6526) </w:t>
      </w:r>
      <w:r w:rsidRPr="0018093F">
        <w:rPr>
          <w:bCs/>
        </w:rPr>
        <w:t>–</w:t>
      </w:r>
      <w:r w:rsidRPr="0018093F">
        <w:t xml:space="preserve"> najveći udio pripada Županijskoj bolnici Čakovec u iznosu od 2.079.816,83 eura koja bilježi povećanje</w:t>
      </w:r>
      <w:r w:rsidRPr="0018093F">
        <w:rPr>
          <w:rFonts w:eastAsia="Calibri"/>
        </w:rPr>
        <w:t xml:space="preserve"> </w:t>
      </w:r>
      <w:r w:rsidRPr="0018093F">
        <w:t>u odnosu na 2022. godinu od 31%, a odnosi se na veći prihod od dopunskog osiguranja i participacije</w:t>
      </w:r>
      <w:r w:rsidRPr="0018093F">
        <w:rPr>
          <w:rFonts w:eastAsia="Calibri"/>
        </w:rPr>
        <w:t xml:space="preserve"> zbog povećanja vrijednosti boda.</w:t>
      </w:r>
    </w:p>
    <w:p w14:paraId="11CF6EF0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5DDFACF3" w14:textId="77777777" w:rsidR="00285A95" w:rsidRPr="0018093F" w:rsidRDefault="00285A95" w:rsidP="00285A95">
      <w:pPr>
        <w:autoSpaceDE w:val="0"/>
        <w:autoSpaceDN w:val="0"/>
        <w:adjustRightInd w:val="0"/>
        <w:ind w:left="108"/>
        <w:jc w:val="both"/>
        <w:rPr>
          <w:bCs/>
        </w:rPr>
      </w:pPr>
      <w:r w:rsidRPr="0018093F">
        <w:rPr>
          <w:b/>
          <w:bCs/>
        </w:rPr>
        <w:t>Prihodi od prodaje proizvoda</w:t>
      </w:r>
      <w:r>
        <w:rPr>
          <w:b/>
          <w:bCs/>
        </w:rPr>
        <w:t xml:space="preserve"> i robe te pruženih usluga (</w:t>
      </w:r>
      <w:r w:rsidRPr="0018093F">
        <w:rPr>
          <w:b/>
          <w:bCs/>
        </w:rPr>
        <w:t xml:space="preserve">661) </w:t>
      </w:r>
      <w:r w:rsidRPr="0018093F">
        <w:rPr>
          <w:bCs/>
        </w:rPr>
        <w:t>– najveći udio u prihodima pripada Zavodu za javno zdravstvo u iznosu od 426.892,10 eura i bilježi smanjenje od 27% u odnosu na prethodno usporedivo razdoblje zbog više odrađenih i naplaćenih testiranja na SARS-COV-2 virus 2022. godine. Županijska bolnica Čakovec s navedene osnove naplatila je prihode u iznosu od 311.931,94 eura što je 44% više u odnosu na prethodno razdoblje zbog realizacije potraživanja iz prethodnih godina, a na osnovu poslanih opomena OB Varaždin te odrađenih usluga citologije, veći su prihodi i s osnove prehrane zaposlenih, s osnove kliničkih ispitivanja i sl.</w:t>
      </w:r>
    </w:p>
    <w:p w14:paraId="68FAD638" w14:textId="77777777" w:rsidR="00285A95" w:rsidRPr="0018093F" w:rsidRDefault="00285A95" w:rsidP="00285A95">
      <w:pPr>
        <w:autoSpaceDE w:val="0"/>
        <w:autoSpaceDN w:val="0"/>
        <w:adjustRightInd w:val="0"/>
        <w:ind w:left="108"/>
        <w:rPr>
          <w:bCs/>
        </w:rPr>
      </w:pPr>
    </w:p>
    <w:p w14:paraId="79F90A6A" w14:textId="77777777" w:rsidR="00285A95" w:rsidRPr="0018093F" w:rsidRDefault="00285A95" w:rsidP="00285A95">
      <w:pPr>
        <w:tabs>
          <w:tab w:val="num" w:pos="0"/>
        </w:tabs>
        <w:ind w:left="108"/>
        <w:jc w:val="both"/>
        <w:rPr>
          <w:bCs/>
        </w:rPr>
      </w:pPr>
      <w:r w:rsidRPr="0018093F">
        <w:rPr>
          <w:b/>
          <w:bCs/>
        </w:rPr>
        <w:t>Prihodi od HZZO-a n</w:t>
      </w:r>
      <w:r>
        <w:rPr>
          <w:b/>
          <w:bCs/>
        </w:rPr>
        <w:t>a temelju ugovornih obveza (</w:t>
      </w:r>
      <w:r w:rsidRPr="0018093F">
        <w:rPr>
          <w:b/>
          <w:bCs/>
        </w:rPr>
        <w:t xml:space="preserve">673) naplaćeni u iznosu od </w:t>
      </w:r>
      <w:r w:rsidRPr="0018093F">
        <w:t xml:space="preserve">20.758.938,06 eura </w:t>
      </w:r>
      <w:r w:rsidRPr="0018093F">
        <w:rPr>
          <w:bCs/>
        </w:rPr>
        <w:t xml:space="preserve">– predstavljaju prihode naplaćene od strane zdravstvenih ustanova i to: u iznosu od </w:t>
      </w:r>
      <w:r w:rsidRPr="0018093F">
        <w:rPr>
          <w:bCs/>
        </w:rPr>
        <w:lastRenderedPageBreak/>
        <w:t>17.098.918,25 eura za Županijsku bolnicu Čakovec, 1.601.912,28 za Zavod za hitnu medicinu, 772.117,35 za Zavod za javno zdravstvo i 1.285.990,18 eura za Dom zdravlja. Županijska bolnica Čakovec i Zavod za hitnu medicinu bilježe povećanje od 17% dok Zavod za javno zdravstvo bilježi smanjenje od 69% i Dom zdravlja smanjenje od 4%. Razlog značajnog smanjenja kod Zavoda za javno zdravstvo je što su u prvih šest mjeseci 2022. godine ostvareni veći prihodi od pruženih usluga zbog više odrađenih i naplaćenih testiranja na SARS-COV-2 virus.</w:t>
      </w:r>
    </w:p>
    <w:p w14:paraId="6211902C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spacing w:before="240"/>
        <w:ind w:left="576"/>
        <w:rPr>
          <w:rFonts w:ascii="Arial" w:hAnsi="Arial" w:cs="Arial"/>
          <w:bCs/>
          <w:sz w:val="28"/>
          <w:szCs w:val="28"/>
        </w:rPr>
      </w:pPr>
      <w:r w:rsidRPr="00BE1B45">
        <w:rPr>
          <w:rFonts w:ascii="Arial" w:hAnsi="Arial" w:cs="Arial"/>
          <w:bCs/>
          <w:sz w:val="28"/>
          <w:szCs w:val="28"/>
        </w:rPr>
        <w:t xml:space="preserve">Rashodi iz redovnog poslovanja </w:t>
      </w:r>
    </w:p>
    <w:p w14:paraId="56D4D800" w14:textId="77777777" w:rsidR="00285A95" w:rsidRPr="00DD072A" w:rsidRDefault="00285A95" w:rsidP="00285A95">
      <w:pPr>
        <w:tabs>
          <w:tab w:val="left" w:pos="1041"/>
          <w:tab w:val="left" w:pos="7253"/>
          <w:tab w:val="left" w:pos="10955"/>
        </w:tabs>
        <w:rPr>
          <w:rFonts w:ascii="Arial" w:hAnsi="Arial" w:cs="Arial"/>
          <w:bCs/>
        </w:rPr>
      </w:pPr>
    </w:p>
    <w:p w14:paraId="3E6F670B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 xml:space="preserve">Rashodi za zaposlene (konto 31) – </w:t>
      </w:r>
      <w:r w:rsidRPr="0018093F">
        <w:rPr>
          <w:bCs/>
        </w:rPr>
        <w:t>ostvareni su u iznosu većem za 10% u odnosu na prethodno razdoblje, najveći udio ima Županijska bolnica Čakovec u iznosu od 12.523.518,05 eura koja bilježi povećanje od 12%. Prvenstveno povećanje kod svih se odnosi na povećanja za staž i povećanja osnovica plaće u državnim i javnim institucijama i kod Međimurske županije. Osim povećanja osnovica plaća povećala su se i materijalna prava što je evidentno kod povećanja Ostalih rashoda za zaposlene (konto 312).</w:t>
      </w:r>
    </w:p>
    <w:p w14:paraId="52D0F22D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34E798BE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bookmarkStart w:id="4" w:name="_Hlk109034313"/>
      <w:bookmarkStart w:id="5" w:name="_Hlk109035267"/>
      <w:r w:rsidRPr="0018093F">
        <w:rPr>
          <w:b/>
          <w:bCs/>
        </w:rPr>
        <w:t xml:space="preserve">Službeno putovanje (konto 3211) – </w:t>
      </w:r>
      <w:r w:rsidRPr="0018093F">
        <w:rPr>
          <w:bCs/>
        </w:rPr>
        <w:t xml:space="preserve">rashodi </w:t>
      </w:r>
      <w:bookmarkEnd w:id="4"/>
      <w:r w:rsidRPr="0018093F">
        <w:rPr>
          <w:bCs/>
        </w:rPr>
        <w:t xml:space="preserve">su povećani u odnosu </w:t>
      </w:r>
      <w:bookmarkEnd w:id="5"/>
      <w:r w:rsidRPr="0018093F">
        <w:rPr>
          <w:bCs/>
        </w:rPr>
        <w:t>na prethodno razdoblje zbog povećanih odlazaka na službeno putovanje u 2023. godini – ukidanje i ublažavanje Covid mjera, najveće povećanje bilježi Međimurska županija sa 9.914,33 eura na 19.846,64 eura.</w:t>
      </w:r>
    </w:p>
    <w:p w14:paraId="33DB762F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p w14:paraId="0551B5A8" w14:textId="77777777" w:rsidR="00285A95" w:rsidRPr="0018093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18093F">
        <w:rPr>
          <w:b/>
          <w:bCs/>
        </w:rPr>
        <w:t xml:space="preserve">Naknade za prijevoz, za rad na terenu i odvojeni život (konto 3212) – </w:t>
      </w:r>
      <w:r w:rsidRPr="0018093F">
        <w:rPr>
          <w:bCs/>
        </w:rPr>
        <w:t>rashodi se odnose na naknade zaposlenima i isti su povećani u odnosu na prethodno razdoblje zbog povećanja cijena karata prijevoznika, najveći udio u rashodu pripada Županijskoj bolnici Čakovec u iznosu od 483.277,33 eura što je 20% više u odnosu na prethodno razdoblje.</w:t>
      </w:r>
    </w:p>
    <w:p w14:paraId="2AB29392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1FD421F5" w14:textId="77777777" w:rsidR="00285A95" w:rsidRPr="0018093F" w:rsidRDefault="00285A95" w:rsidP="00285A95">
      <w:pPr>
        <w:ind w:left="108"/>
        <w:jc w:val="both"/>
        <w:rPr>
          <w:bCs/>
        </w:rPr>
      </w:pPr>
      <w:r w:rsidRPr="0018093F">
        <w:rPr>
          <w:b/>
          <w:bCs/>
        </w:rPr>
        <w:t xml:space="preserve">Stručno usavršavanje zaposlenika (konto 3213) – </w:t>
      </w:r>
      <w:r w:rsidRPr="0018093F">
        <w:rPr>
          <w:bCs/>
        </w:rPr>
        <w:t>najveći udio pripada Tehničkoj školi Čakovec što je povećanje od 219% u odnosu na prethodno razdoblje zbog projekta Regionalnog centra kompetencija obzirom da se u povećanom obimu provode edukacije, studijska putovanja i sl.</w:t>
      </w:r>
    </w:p>
    <w:p w14:paraId="28276648" w14:textId="77777777" w:rsidR="00285A95" w:rsidRPr="002951BB" w:rsidRDefault="00285A95" w:rsidP="00285A95">
      <w:pPr>
        <w:ind w:left="108"/>
        <w:jc w:val="both"/>
        <w:rPr>
          <w:rFonts w:ascii="Arial" w:hAnsi="Arial" w:cs="Arial"/>
          <w:bCs/>
        </w:rPr>
      </w:pPr>
      <w:r w:rsidRPr="00B536C4">
        <w:rPr>
          <w:rFonts w:ascii="Calibri Light" w:hAnsi="Calibri Light"/>
        </w:rPr>
        <w:t xml:space="preserve"> </w:t>
      </w:r>
    </w:p>
    <w:p w14:paraId="0A8BAD6E" w14:textId="77777777" w:rsidR="00285A95" w:rsidRPr="00E7490D" w:rsidRDefault="00285A95" w:rsidP="00285A95">
      <w:pPr>
        <w:ind w:left="108"/>
        <w:jc w:val="both"/>
        <w:rPr>
          <w:b/>
          <w:bCs/>
        </w:rPr>
      </w:pPr>
      <w:r w:rsidRPr="00E7490D">
        <w:rPr>
          <w:b/>
          <w:bCs/>
        </w:rPr>
        <w:t xml:space="preserve">Ostale naknade troškova zaposlenima (konto 3214) – </w:t>
      </w:r>
      <w:r w:rsidRPr="00E7490D">
        <w:rPr>
          <w:bCs/>
        </w:rPr>
        <w:t>najveći udio u rashodima pripada Ekonomskoj i trgovačkoj školi Čakovec i iznosi 9.849,83 eura što je povećanje od 25%.</w:t>
      </w:r>
    </w:p>
    <w:p w14:paraId="2B88FD33" w14:textId="77777777" w:rsidR="00285A95" w:rsidRDefault="00285A95" w:rsidP="00285A95">
      <w:pPr>
        <w:spacing w:line="276" w:lineRule="auto"/>
        <w:ind w:left="108"/>
        <w:jc w:val="both"/>
        <w:rPr>
          <w:rFonts w:ascii="Arial" w:hAnsi="Arial" w:cs="Arial"/>
          <w:b/>
          <w:bCs/>
        </w:rPr>
      </w:pPr>
    </w:p>
    <w:p w14:paraId="416655C2" w14:textId="77777777" w:rsidR="00285A95" w:rsidRPr="002C4C25" w:rsidRDefault="00285A95" w:rsidP="00285A95">
      <w:pPr>
        <w:ind w:left="108"/>
        <w:jc w:val="both"/>
      </w:pPr>
      <w:r w:rsidRPr="002C4C25">
        <w:rPr>
          <w:b/>
          <w:bCs/>
        </w:rPr>
        <w:t xml:space="preserve">Rashodi za materijal i energiju (konto 322) – </w:t>
      </w:r>
      <w:r w:rsidRPr="002C4C25">
        <w:t xml:space="preserve"> neznatno su povećani za 1,9% u odnosu na prethodno razdoblje, a najveći udio u navedenim rashodima pripada rashodima za Materijal i sirovine (7.041.594,93 eura odnosno 7</w:t>
      </w:r>
      <w:r>
        <w:t>8</w:t>
      </w:r>
      <w:r w:rsidRPr="002C4C25">
        <w:t>%). Najviše rashoda za Materijal i sirovine pripada Županijskoj bolnici Čakovec (5.679.03</w:t>
      </w:r>
      <w:r>
        <w:t>5,00</w:t>
      </w:r>
      <w:r w:rsidRPr="002C4C25">
        <w:t xml:space="preserve"> eura, povećanje od 6%), a razlog povećanja je povećanje cijena na tržištu. Značajno smanjenje od 64% na stavci nabave Materijala i sirovina bilježi Zavod za javno zdravstvo zbog smanjenja obujma pruženih usluga testiranja na Sars-CoV-2 virus te manje potrebe za nabavkom testova za testiranje istog.</w:t>
      </w:r>
    </w:p>
    <w:p w14:paraId="0DF4D137" w14:textId="77777777" w:rsidR="00285A95" w:rsidRPr="0062603F" w:rsidRDefault="00285A95" w:rsidP="00285A95">
      <w:pPr>
        <w:ind w:left="108"/>
        <w:jc w:val="both"/>
        <w:rPr>
          <w:rFonts w:ascii="Arial" w:hAnsi="Arial" w:cs="Arial"/>
        </w:rPr>
      </w:pPr>
    </w:p>
    <w:p w14:paraId="040AE760" w14:textId="77777777" w:rsidR="00285A95" w:rsidRPr="007D718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7D718F">
        <w:rPr>
          <w:b/>
          <w:bCs/>
        </w:rPr>
        <w:t xml:space="preserve">Usluge telefona, pošte i prijevoza (konto 3231) – </w:t>
      </w:r>
      <w:r w:rsidRPr="007D718F">
        <w:t xml:space="preserve">najveći udio u rashodima pripada Međimurskoj županiji u iznosu od </w:t>
      </w:r>
      <w:r w:rsidRPr="007D718F">
        <w:rPr>
          <w:bCs/>
        </w:rPr>
        <w:t xml:space="preserve">1.870.865,08 eura - rashodi na ovoj poziciji odnose se prvenstveno na usluge prijevoza učenika osnovnih i srednjih škola financiranog iz državnog proračuna. Spomenuti troškovi prijevoza učenika u polugodišnjem razdoblju 2023. godine iznose 1.580.932,70 eura, dok su u prethodnoj iznosili 1.138.226,25 eura što ukazuje da je ukupna stavka rashoda za usluge povećana najvećim dijelom zbog troškova prijevoza. Navedeno povećanje nastalo je kao posljedica povećanja cijene karata prijevoznika kao i veći broj prijevoza u odnosu na prethodno Covid razdoblje. </w:t>
      </w:r>
    </w:p>
    <w:p w14:paraId="315B10CA" w14:textId="77777777" w:rsidR="00285A95" w:rsidRPr="007D718F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0D9FD0BB" w14:textId="77777777" w:rsidR="00285A95" w:rsidRPr="00AA53C2" w:rsidRDefault="00285A95" w:rsidP="00285A95">
      <w:pPr>
        <w:autoSpaceDE w:val="0"/>
        <w:autoSpaceDN w:val="0"/>
        <w:adjustRightInd w:val="0"/>
        <w:ind w:left="108"/>
        <w:jc w:val="both"/>
        <w:rPr>
          <w:bCs/>
        </w:rPr>
      </w:pPr>
      <w:r w:rsidRPr="00AA53C2">
        <w:rPr>
          <w:b/>
          <w:bCs/>
        </w:rPr>
        <w:t xml:space="preserve">Usluge tekućeg i investicijskog održavanja (konto 3232) – </w:t>
      </w:r>
      <w:r w:rsidRPr="00AA53C2">
        <w:rPr>
          <w:bCs/>
        </w:rPr>
        <w:t>najveći udio u rashodima pripada Županijskoj bolnici Čakovec (406.991,61 eura) koja bilježi povećanje od 63% zbog većeg broja održavanja i popravaka medicinske opreme, a</w:t>
      </w:r>
    </w:p>
    <w:p w14:paraId="47174404" w14:textId="77777777" w:rsidR="00285A95" w:rsidRPr="00AA53C2" w:rsidRDefault="00285A95" w:rsidP="00285A95">
      <w:pPr>
        <w:autoSpaceDE w:val="0"/>
        <w:autoSpaceDN w:val="0"/>
        <w:adjustRightInd w:val="0"/>
        <w:ind w:left="108"/>
        <w:jc w:val="both"/>
        <w:rPr>
          <w:bCs/>
        </w:rPr>
      </w:pPr>
      <w:r w:rsidRPr="00AA53C2">
        <w:rPr>
          <w:bCs/>
        </w:rPr>
        <w:lastRenderedPageBreak/>
        <w:t>najveći dio odnosi se na popravak dva rtg uredaja, jedan u vrijednosti 48.520 eura, a jedan u vrijednosti od 22.000 eura, te popravak endoskopa. Također su kod Županijske bolnice Čakovec povećani i troškovi informatičkog održavanja zbog uvođenja novih modula.</w:t>
      </w:r>
    </w:p>
    <w:p w14:paraId="62991C20" w14:textId="77777777" w:rsidR="00285A95" w:rsidRDefault="00285A95" w:rsidP="00285A95">
      <w:pPr>
        <w:autoSpaceDE w:val="0"/>
        <w:autoSpaceDN w:val="0"/>
        <w:adjustRightInd w:val="0"/>
        <w:ind w:left="108"/>
        <w:jc w:val="both"/>
        <w:rPr>
          <w:rFonts w:ascii="Arial" w:hAnsi="Arial" w:cs="Arial"/>
          <w:bCs/>
        </w:rPr>
      </w:pPr>
    </w:p>
    <w:p w14:paraId="26D8ED30" w14:textId="77777777" w:rsidR="00285A95" w:rsidRPr="007D718F" w:rsidRDefault="00285A95" w:rsidP="00285A95">
      <w:pPr>
        <w:autoSpaceDE w:val="0"/>
        <w:autoSpaceDN w:val="0"/>
        <w:adjustRightInd w:val="0"/>
        <w:ind w:left="108"/>
        <w:jc w:val="both"/>
        <w:rPr>
          <w:bCs/>
        </w:rPr>
      </w:pPr>
      <w:r w:rsidRPr="007D718F">
        <w:rPr>
          <w:b/>
          <w:bCs/>
        </w:rPr>
        <w:t xml:space="preserve">Usluge promidžbe i informiranja (konto 3233) – </w:t>
      </w:r>
      <w:r w:rsidRPr="007D718F">
        <w:rPr>
          <w:bCs/>
        </w:rPr>
        <w:t>najveći udio pripada Međimurskoj županiji koja bilježi smanjenje u odnosu na prethodno razdoblje 10,30%.</w:t>
      </w:r>
      <w:r>
        <w:rPr>
          <w:bCs/>
        </w:rPr>
        <w:t xml:space="preserve"> Najveće povećanje se odnosi na Tehničku školu Čakovec.</w:t>
      </w:r>
    </w:p>
    <w:p w14:paraId="6B10240D" w14:textId="77777777" w:rsidR="00285A95" w:rsidRPr="007D718F" w:rsidRDefault="00285A95" w:rsidP="00285A95">
      <w:pPr>
        <w:autoSpaceDE w:val="0"/>
        <w:autoSpaceDN w:val="0"/>
        <w:adjustRightInd w:val="0"/>
        <w:jc w:val="both"/>
        <w:rPr>
          <w:bCs/>
        </w:rPr>
      </w:pPr>
    </w:p>
    <w:p w14:paraId="6543E9DA" w14:textId="77777777" w:rsidR="00285A95" w:rsidRPr="00D13B4C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D13B4C">
        <w:rPr>
          <w:b/>
          <w:bCs/>
        </w:rPr>
        <w:t xml:space="preserve">Intelektualne i osobne usluge (konto 3237) – </w:t>
      </w:r>
      <w:r w:rsidRPr="00D13B4C">
        <w:t>najveći dio rashoda pripada Međimurskoj županiji koja bilježi povećanje stavke zbog povećanih usluga izrada projektne dokumentacije za nove projekte kao i povećanih aktivnosti povodom tridesete obljetnice Dana županije, značajnijim iznosom na stavci pridružuje se i Županijska bolnica Čakovec koja bilježi rast od 27,3% zbog povećanja ugovora o djelu  anesteziologa, pedijatra, rendgenologa, a sve zbog nedostatka liječnika.</w:t>
      </w:r>
    </w:p>
    <w:p w14:paraId="796F3605" w14:textId="77777777" w:rsidR="00285A95" w:rsidRPr="00D13B4C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3A785840" w14:textId="77777777" w:rsidR="00285A95" w:rsidRPr="00D13B4C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D13B4C">
        <w:rPr>
          <w:b/>
          <w:bCs/>
        </w:rPr>
        <w:t>Ostale usluge (konto 3239) –</w:t>
      </w:r>
      <w:r w:rsidRPr="00D13B4C">
        <w:t xml:space="preserve"> povećanje za 31,2 % je kod Županijske bolnice nastalo zbog poskupljenja zaštitarskih usluga za čuvanje imovine, kao i ispitivanja određenih elektroinstalacija i radne okoline, servisa vatrogasnih aparata koje se ne vrše svake godine već periodično, a kod Međimurske županije zbog </w:t>
      </w:r>
      <w:r w:rsidRPr="00D13B4C">
        <w:rPr>
          <w:bCs/>
        </w:rPr>
        <w:t xml:space="preserve">proslave Dana </w:t>
      </w:r>
      <w:r>
        <w:rPr>
          <w:bCs/>
        </w:rPr>
        <w:t>županije.</w:t>
      </w:r>
    </w:p>
    <w:p w14:paraId="35DE6199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/>
          <w:bCs/>
        </w:rPr>
      </w:pPr>
    </w:p>
    <w:p w14:paraId="2F52F5F6" w14:textId="77777777" w:rsidR="00285A95" w:rsidRPr="00824635" w:rsidRDefault="00285A95" w:rsidP="00285A95">
      <w:pPr>
        <w:autoSpaceDE w:val="0"/>
        <w:autoSpaceDN w:val="0"/>
        <w:adjustRightInd w:val="0"/>
        <w:ind w:left="108"/>
        <w:jc w:val="both"/>
        <w:rPr>
          <w:rFonts w:eastAsia="Calibri"/>
        </w:rPr>
      </w:pPr>
      <w:r w:rsidRPr="00824635">
        <w:rPr>
          <w:b/>
          <w:bCs/>
        </w:rPr>
        <w:t>Ostali nespomenuti rashodi poslovanja (329) –</w:t>
      </w:r>
      <w:r w:rsidRPr="00824635">
        <w:t xml:space="preserve"> povećanje za neznatnih 2 %</w:t>
      </w:r>
      <w:r>
        <w:t xml:space="preserve"> u odnosu na prethodno razdoblje</w:t>
      </w:r>
      <w:r w:rsidRPr="00824635">
        <w:t>, najveći udio u rashodima pripada Međimurskoj županiji i iznosi 225.455,77 eura što je povećanje od 6%, slijedi Županijska bolnica Čakovec s iznosom od 166.963,31 eura (povećanje od 19,8%). Povećanje je vidljivo na stavkama reprezentacije i ostalih nespomenutih rashoda poslovanja kod Međimurske županije povodom obilježavanja tridesete obljetnice Dana županije, a kod Županijske bolnice Čakovec zbog većih prihoda od donacija kojima se pokrivaju rashodi za obilježavanje Dana sestrinstva, predstavljanje monografije, organizaciju simpozija „Zbrinjavanje traume abdomena“ i sl.</w:t>
      </w:r>
    </w:p>
    <w:p w14:paraId="1CB2ADDE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/>
          <w:bCs/>
        </w:rPr>
      </w:pPr>
    </w:p>
    <w:p w14:paraId="0DC4ECC7" w14:textId="77777777" w:rsidR="00285A95" w:rsidRPr="00824635" w:rsidRDefault="00285A95" w:rsidP="00285A95">
      <w:pPr>
        <w:autoSpaceDE w:val="0"/>
        <w:autoSpaceDN w:val="0"/>
        <w:adjustRightInd w:val="0"/>
        <w:ind w:left="108"/>
        <w:jc w:val="both"/>
      </w:pPr>
      <w:r w:rsidRPr="00824635">
        <w:rPr>
          <w:b/>
          <w:bCs/>
        </w:rPr>
        <w:t xml:space="preserve">Zatezne kamate (3433) – </w:t>
      </w:r>
      <w:r w:rsidRPr="00824635">
        <w:t>iznose 187 tisuća eura i najveći udio u navedenim rashodima pripada Županijskoj bolnici Čakovec i iznosi 186.974,43 eura, povećanje je nastalo zbog isplate kamata po sudskoj presudi za liječničku pogrešku iz prijašnjih godina, kamate se odnose na razdoblje trajanja sudskog procesa. Ostali sudionici u proračunu bilježe smanjenje rashoda na ime zateznih kamata.</w:t>
      </w:r>
    </w:p>
    <w:p w14:paraId="56BC3A93" w14:textId="77777777" w:rsidR="00285A95" w:rsidRPr="00824635" w:rsidRDefault="00285A95" w:rsidP="00285A95">
      <w:pPr>
        <w:autoSpaceDE w:val="0"/>
        <w:autoSpaceDN w:val="0"/>
        <w:adjustRightInd w:val="0"/>
        <w:rPr>
          <w:bCs/>
        </w:rPr>
      </w:pPr>
    </w:p>
    <w:p w14:paraId="0E2000A8" w14:textId="77777777" w:rsidR="00285A95" w:rsidRPr="0082463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824635">
        <w:rPr>
          <w:b/>
          <w:bCs/>
        </w:rPr>
        <w:t xml:space="preserve">Subvencije poljoprivrednicima i obrtnicima (3523) –  </w:t>
      </w:r>
      <w:r w:rsidRPr="00824635">
        <w:t xml:space="preserve"> u prethodnom razdoblju isplate za subvencije evidentne su kod </w:t>
      </w:r>
      <w:r w:rsidRPr="00824635">
        <w:rPr>
          <w:bCs/>
        </w:rPr>
        <w:t>Međimurske županije i one se odnose na Subvencije poljoprivrednicima, obrtnicima, malim i srednjim poduzetnicima u iznosu 104.052,32 eura dok istog rashoda u ovom razdoblju nema.</w:t>
      </w:r>
    </w:p>
    <w:p w14:paraId="7CC5EC0B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4FFD58FB" w14:textId="77777777" w:rsidR="00285A95" w:rsidRPr="0082463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824635">
        <w:rPr>
          <w:b/>
        </w:rPr>
        <w:t xml:space="preserve">Subvencije trgovačkim društvima, zadrugama, poljoprivrednicima i obrtnicima iz EU sredstava (353) – </w:t>
      </w:r>
      <w:r w:rsidRPr="00824635">
        <w:rPr>
          <w:bCs/>
        </w:rPr>
        <w:t>rashod u cijelosti pripada Tehničkoj školi Čakovec za prijenose sredstva trgovačkom društvu za Regionalni centar kompetencija – projekt izgradnje, u prethodnom razdoblju iznos je bio veći za 37%.</w:t>
      </w:r>
    </w:p>
    <w:p w14:paraId="454B801B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7C7E6D5D" w14:textId="77777777" w:rsidR="00285A95" w:rsidRPr="00762837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762837">
        <w:rPr>
          <w:b/>
          <w:bCs/>
        </w:rPr>
        <w:t xml:space="preserve">Tekuće pomoći inozemnim vladama (3611) –  </w:t>
      </w:r>
      <w:r w:rsidRPr="00762837">
        <w:t xml:space="preserve"> iznos od 18.646,00 eura pripada Gospodarskoj školi Čakovec za prijenos sredstava stranim partnerima po završnom izvješću po projektu IFT. Navedenog rashoda nema u prethodno usporedivom razdoblju. </w:t>
      </w:r>
    </w:p>
    <w:p w14:paraId="193675A9" w14:textId="77777777" w:rsidR="00285A95" w:rsidRPr="0082463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594C8506" w14:textId="77777777" w:rsidR="00285A95" w:rsidRPr="0082463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824635">
        <w:rPr>
          <w:b/>
          <w:bCs/>
        </w:rPr>
        <w:t xml:space="preserve">Tekuće pomoći međunarodnim organizacijama te institucijama i tijelima EU (3621) –  </w:t>
      </w:r>
      <w:r w:rsidRPr="00824635">
        <w:t xml:space="preserve"> iznos od 88.550,00 eura pripada Međimurskoj županiji i odnosi se na pomoći partnerima u projektu NO Bounderies i to Općini Lendava (47.600,00 eura) i Razvojnoj koordinacijskoj agenciji jezera Balaton (40.950,00 eura). Navedenih rashoda u prethodnoj godini nije bilo po takvim projektnim aktivnostima.</w:t>
      </w:r>
    </w:p>
    <w:p w14:paraId="67980C99" w14:textId="77777777" w:rsidR="00285A95" w:rsidRPr="00111BB8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4F28261E" w14:textId="359D7AE0" w:rsidR="00285A95" w:rsidRPr="0082463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824635">
        <w:rPr>
          <w:b/>
          <w:bCs/>
        </w:rPr>
        <w:lastRenderedPageBreak/>
        <w:t xml:space="preserve">Kapitalne pomoći unutar općeg proračuna (3632) – </w:t>
      </w:r>
      <w:r w:rsidRPr="00824635">
        <w:t>cijeli iznos od 126.720,14 eura odnosi se na Međimursku županiju i bilježi smanjenje od 30%, u ovom razdoblju</w:t>
      </w:r>
      <w:r>
        <w:t xml:space="preserve"> u odnosu na prethodno,</w:t>
      </w:r>
      <w:r w:rsidRPr="00824635">
        <w:t xml:space="preserve"> rashodi su nastali na ime</w:t>
      </w:r>
      <w:r w:rsidRPr="00824635">
        <w:rPr>
          <w:bCs/>
        </w:rPr>
        <w:t xml:space="preserve"> pomoći gradu Čakovcu u iznosu od 66.361,40 eura za opremanje sportsko gimnastičkog objekta i općini Nedelišće u iznosu od 6.636,14 eura za obnovu fasade vatrogasnog doma u Macincu te kupnju trimera za Općinu Donji Vidovec</w:t>
      </w:r>
      <w:r w:rsidR="009C0D98">
        <w:rPr>
          <w:bCs/>
        </w:rPr>
        <w:t>, kao i pomoći ostalim općinama.</w:t>
      </w:r>
    </w:p>
    <w:p w14:paraId="524B3340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29F9FCBC" w14:textId="77777777" w:rsidR="00285A95" w:rsidRPr="003114EE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3114EE">
        <w:rPr>
          <w:b/>
          <w:bCs/>
        </w:rPr>
        <w:t xml:space="preserve">Prijenosi proračunskim korisnicima drugih proračuna (3661) – </w:t>
      </w:r>
      <w:r w:rsidRPr="003114EE">
        <w:t>na navedenoj stavci su se kod Međimurske županije u prethodnom razdoblju evidentirale isplate sredstava za decentralizirane funkcije Centru za socijalnu skrb Čakovec i Prelog dok se od 2023. godine isti ne naplaćuju kao prihodi niti se ne transferiraju korisnicima drugih proračuna u sklopu decentraliziranih funkcija županija što je razlog značajnog smanjenja u odnosu na prethodno razdoblje.</w:t>
      </w:r>
    </w:p>
    <w:p w14:paraId="76619402" w14:textId="77777777" w:rsidR="00285A95" w:rsidRPr="00265F04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</w:rPr>
      </w:pPr>
    </w:p>
    <w:p w14:paraId="1877F728" w14:textId="77777777" w:rsidR="00285A95" w:rsidRPr="00BB74D1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r w:rsidRPr="00BB74D1">
        <w:rPr>
          <w:b/>
          <w:bCs/>
        </w:rPr>
        <w:t xml:space="preserve">Pomoći temeljem prijenosa EU sredstava  (368) – </w:t>
      </w:r>
      <w:r w:rsidRPr="00BB74D1">
        <w:t xml:space="preserve">iznos se najviše odnosi na prijenose od strane Međimurske županije i to najvećim dijelom za </w:t>
      </w:r>
      <w:r w:rsidRPr="00BB74D1">
        <w:rPr>
          <w:bCs/>
        </w:rPr>
        <w:t>sufinanciranje projekata energetske učinkovitosti i obnovljivih izvora energije.</w:t>
      </w:r>
    </w:p>
    <w:p w14:paraId="4D5178B2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49902339" w14:textId="77777777" w:rsidR="00285A95" w:rsidRPr="00BB74D1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bCs/>
        </w:rPr>
      </w:pPr>
      <w:r w:rsidRPr="00BB74D1">
        <w:rPr>
          <w:b/>
        </w:rPr>
        <w:t>Ostale naknade građanima i kućanstvima iz proračuna</w:t>
      </w:r>
      <w:r>
        <w:rPr>
          <w:b/>
        </w:rPr>
        <w:t xml:space="preserve"> (</w:t>
      </w:r>
      <w:r w:rsidRPr="00BB74D1">
        <w:rPr>
          <w:b/>
        </w:rPr>
        <w:t>372)</w:t>
      </w:r>
      <w:r w:rsidRPr="00BB74D1">
        <w:t xml:space="preserve"> – najveći udio u rashodima evidentan je kod Međimurske županije u iznosu od 327.281,28 eura,  </w:t>
      </w:r>
      <w:r>
        <w:t xml:space="preserve">rashodi se </w:t>
      </w:r>
      <w:r w:rsidRPr="00BB74D1">
        <w:rPr>
          <w:bCs/>
        </w:rPr>
        <w:t>odnose na isplate za nagrade i povelje Zrinski (3.620,00 eura), sufinanciranje povećanja energetske učinkovitosti i korištenja obnovljivih izvora energije u obiteljskim kućama (8.000,00 eura), isplate učeničkih stipendija djeci hrvatskih branitelja u visini od 12.741,44 eura, na troškove ukopa HRVI Domovinskog rata koji se pokrivaju od strane Ministarstva hrvatskih branitelja i iznose 15.238,56 eura, isplate za studentske kredite u iznosu 361,05 eura, sufinanciranje cijene prijevoza željeznicom studentima u visini od 14.716,05 eura, jednokratne potpore studentima 192.400,00 eura, jednokratne potpore umirovljenicima u vidu sufinanciranja cijena autobusnog prijevoza u iznosu od 76.237,80 eura, sufinanciranje cijene karata za umirovljenike iznosilo je u ovom razdoblju 1.736,00 eura, ostale naknade iznose 2.230,38 eura. Naknada za prijevoz studentima i umirovljenicima nije postojala u prethodnom razdoblju što je uzrok povećanja rashoda po šifri 372.</w:t>
      </w:r>
    </w:p>
    <w:p w14:paraId="39A42463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rFonts w:ascii="Arial" w:hAnsi="Arial" w:cs="Arial"/>
        </w:rPr>
      </w:pPr>
    </w:p>
    <w:p w14:paraId="6914CC45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spacing w:after="200"/>
        <w:ind w:left="108"/>
        <w:jc w:val="both"/>
      </w:pPr>
      <w:r w:rsidRPr="00C90191">
        <w:rPr>
          <w:b/>
        </w:rPr>
        <w:t>Šifra 38 – Ostali rashodi</w:t>
      </w:r>
      <w:r w:rsidRPr="00C90191">
        <w:rPr>
          <w:rFonts w:eastAsia="Calibri"/>
          <w:b/>
          <w:bCs/>
          <w:sz w:val="22"/>
          <w:szCs w:val="22"/>
          <w:lang w:eastAsia="en-US"/>
        </w:rPr>
        <w:t xml:space="preserve"> – </w:t>
      </w:r>
      <w:r w:rsidRPr="00C90191">
        <w:rPr>
          <w:bCs/>
        </w:rPr>
        <w:t xml:space="preserve">ostvareni su u iznosu od 1,36 milijuna eura i to najvećim dijelom kod Međimurske županije u iznosu od 1.130.620,71 eura koja bilježi porast u odnosu na usporedno razdoblje za 9%, tekuće donacije iznose 1.095.481,86 eura i odnose se na donacije za nacionalne zajednice i manjine, za sportska društva putem Zajednice sportova, za Međimurski školski sportski savez, za udruge građana i političke stranke, za humanitarne organizacije, za građane, za potpore poljoprivrednicima, udrugama  te sve oblike donacija koje su planirane u proračunu te se prati njihovo sufinanciranje. Tekuće donacije u naravi izvršene su u visini od 6.555,32 eura. Kapitalne donacije neprofitnim organizacijama kod Međimurske županije u ovom polugodištu iznose 28.583,53 eura i odnose se na sufinanciranje investicije RCGO Piškornica (21.947,38 eura) i  donacija vjerskim zajednicama (6.636,15 eura). </w:t>
      </w:r>
      <w:r w:rsidRPr="00C90191">
        <w:rPr>
          <w:b/>
        </w:rPr>
        <w:t>Naknade šteta pravnim i fizičkim osobama (konto 3831)</w:t>
      </w:r>
      <w:r w:rsidRPr="00C90191">
        <w:t xml:space="preserve"> – rashod u iznosu od 219.868,59 eura se u potpunosti odnosi na Županijsku bolnicu Čakovec i značajno je veći u ovom razdoblju za naknadu štete fizičkim osobama zbog profesionalne pogreške liječnika iz prijašnjih godina, a prema presudi donesenoj u prosincu 2022. godine.</w:t>
      </w:r>
    </w:p>
    <w:p w14:paraId="5DED58E4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spacing w:before="240"/>
        <w:ind w:left="57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Prihodi – nefinancijska imovina</w:t>
      </w:r>
      <w:r w:rsidRPr="00970840">
        <w:rPr>
          <w:rFonts w:ascii="Arial" w:hAnsi="Arial" w:cs="Arial"/>
          <w:bCs/>
          <w:sz w:val="28"/>
          <w:szCs w:val="28"/>
        </w:rPr>
        <w:t> </w:t>
      </w:r>
    </w:p>
    <w:p w14:paraId="75781D42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rFonts w:ascii="Arial" w:hAnsi="Arial" w:cs="Arial"/>
          <w:b/>
          <w:bCs/>
        </w:rPr>
      </w:pPr>
    </w:p>
    <w:p w14:paraId="1C07658A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</w:pPr>
      <w:r w:rsidRPr="00BE1B45">
        <w:rPr>
          <w:b/>
          <w:bCs/>
        </w:rPr>
        <w:t xml:space="preserve">Zemljište (konto 7111) - </w:t>
      </w:r>
      <w:r w:rsidRPr="00BE1B45">
        <w:t>ostvareni su kod Međimurske županije temeljem rasporeda prihoda od prodaje zemljišta iz Državnog proračuna u iznosu od 12.649,56 eura. U prethodnom je razdoblju na navedenom prihodu evidentirana i prodaja zemljišta u vlasništvu Međimurske županije dok takav prihod nije ostvaren u ovom izvještajnom razdoblju.</w:t>
      </w:r>
    </w:p>
    <w:p w14:paraId="62CF1CA6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rFonts w:ascii="Arial" w:hAnsi="Arial" w:cs="Arial"/>
        </w:rPr>
      </w:pPr>
    </w:p>
    <w:p w14:paraId="3E8AEB04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</w:pPr>
      <w:r w:rsidRPr="00BE1B45">
        <w:rPr>
          <w:b/>
          <w:bCs/>
        </w:rPr>
        <w:t xml:space="preserve">Stambeni objekti (konto 7211) – </w:t>
      </w:r>
      <w:bookmarkStart w:id="6" w:name="_Hlk109049074"/>
      <w:r w:rsidRPr="00BE1B45">
        <w:t>najveći udio u prihodima pripada Domu zdravlja Čakovec (25.433,34 eura) koji je iste ostvario prodajom</w:t>
      </w:r>
      <w:bookmarkEnd w:id="6"/>
      <w:r w:rsidRPr="00BE1B45">
        <w:t xml:space="preserve"> stana u vlasništvu Doma zdravlja u Štrigovi. </w:t>
      </w:r>
    </w:p>
    <w:p w14:paraId="7266C2B4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rFonts w:ascii="Arial" w:hAnsi="Arial" w:cs="Arial"/>
          <w:b/>
          <w:bCs/>
        </w:rPr>
      </w:pPr>
    </w:p>
    <w:p w14:paraId="6B4873D1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</w:pPr>
      <w:r w:rsidRPr="00BE1B45">
        <w:rPr>
          <w:b/>
          <w:bCs/>
        </w:rPr>
        <w:lastRenderedPageBreak/>
        <w:t xml:space="preserve">Poslovni objekti (konto 7212) – </w:t>
      </w:r>
      <w:r w:rsidRPr="00BE1B45">
        <w:t>prihod ostvaren od Gospodarske škole Čakovec s osnove prodaje kontejnera koji nema uporabnu funkciju (500,00 eura).</w:t>
      </w:r>
    </w:p>
    <w:p w14:paraId="558FFFA7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</w:pPr>
    </w:p>
    <w:p w14:paraId="104F84B6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</w:pPr>
      <w:r w:rsidRPr="00BE1B45">
        <w:rPr>
          <w:b/>
          <w:bCs/>
        </w:rPr>
        <w:t>Uredska oprema i namještaj (konto 7221) -</w:t>
      </w:r>
      <w:r w:rsidRPr="00BE1B45">
        <w:t xml:space="preserve"> najveći udio u prihodima pripada Domu zdravlja Čakovec (16.610,17 eura) koji navodi da je odobrena prodaja dugotrajne nefinancijske imovine na rate, odnosno robni zajam nositeljicama privatne prakse u Čakovcu.</w:t>
      </w:r>
    </w:p>
    <w:p w14:paraId="55A2E1D4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rFonts w:ascii="Arial" w:hAnsi="Arial" w:cs="Arial"/>
        </w:rPr>
      </w:pPr>
    </w:p>
    <w:p w14:paraId="64BE6631" w14:textId="77777777" w:rsidR="00285A95" w:rsidRPr="00BE1B4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</w:pPr>
      <w:r w:rsidRPr="00BE1B45">
        <w:rPr>
          <w:b/>
          <w:bCs/>
        </w:rPr>
        <w:t>Uređaji, strojevi i oprema za ostale namjene (konto 7227) -</w:t>
      </w:r>
      <w:r w:rsidRPr="00BE1B45">
        <w:t xml:space="preserve"> prihod ostvaren kod Gospodarske škole Čakovec s osnove prodaje sijačice koja nema uporabnu funkciju (1.600,00 eura).</w:t>
      </w:r>
    </w:p>
    <w:p w14:paraId="77636061" w14:textId="77777777" w:rsidR="00285A95" w:rsidRDefault="00285A95" w:rsidP="00285A95">
      <w:pPr>
        <w:tabs>
          <w:tab w:val="left" w:pos="1041"/>
          <w:tab w:val="left" w:pos="7253"/>
          <w:tab w:val="left" w:pos="10955"/>
        </w:tabs>
        <w:ind w:left="108"/>
        <w:jc w:val="both"/>
        <w:rPr>
          <w:rFonts w:ascii="Arial" w:hAnsi="Arial" w:cs="Arial"/>
          <w:b/>
          <w:bCs/>
        </w:rPr>
      </w:pPr>
    </w:p>
    <w:p w14:paraId="3A756FBC" w14:textId="77777777" w:rsidR="00285A95" w:rsidRPr="00BE1B45" w:rsidRDefault="00285A95" w:rsidP="00285A95">
      <w:pPr>
        <w:ind w:left="108"/>
        <w:jc w:val="both"/>
      </w:pPr>
      <w:r w:rsidRPr="00BE1B45">
        <w:rPr>
          <w:b/>
          <w:bCs/>
        </w:rPr>
        <w:t>Prijevozna sredstva u cestovnom prijevozu (konto 7231) -</w:t>
      </w:r>
      <w:r w:rsidRPr="00BE1B45">
        <w:t xml:space="preserve"> prihod ostvaren kod Međimurske županije u iznosu od 582,00 eura za prodaju neispravnih vozila putem javnog poziva te kod Doma zdravlja u iznosu od 1.405,00 eura za prodaju neispravnih, starih i rashodovanih vozila u reciklažnom dvorištu.</w:t>
      </w:r>
    </w:p>
    <w:p w14:paraId="464C5AEF" w14:textId="77777777" w:rsidR="00285A95" w:rsidRDefault="00285A95" w:rsidP="00285A95">
      <w:pPr>
        <w:ind w:left="108"/>
        <w:jc w:val="both"/>
        <w:rPr>
          <w:rFonts w:ascii="Arial" w:hAnsi="Arial" w:cs="Arial"/>
        </w:rPr>
      </w:pPr>
    </w:p>
    <w:p w14:paraId="7A496248" w14:textId="77777777" w:rsidR="00285A95" w:rsidRDefault="00285A95" w:rsidP="00285A95">
      <w:pPr>
        <w:ind w:left="108"/>
        <w:jc w:val="both"/>
      </w:pPr>
      <w:r w:rsidRPr="00BE1B45">
        <w:rPr>
          <w:b/>
          <w:bCs/>
        </w:rPr>
        <w:t>Osnovno stado (konto 7252) -</w:t>
      </w:r>
      <w:r w:rsidRPr="00BE1B45">
        <w:t xml:space="preserve"> prihod u iznosu od 2.986,26 eura ostvaren od strane proračunskog korisnika Javne ustanove za zaštitu prirode – Međimurska priroda, odnosi se na prodaju kobila međimurskog konja.</w:t>
      </w:r>
    </w:p>
    <w:p w14:paraId="6C4C4DBA" w14:textId="77777777" w:rsidR="00285A95" w:rsidRPr="00746D20" w:rsidRDefault="00285A95" w:rsidP="00285A95">
      <w:pPr>
        <w:tabs>
          <w:tab w:val="left" w:pos="1041"/>
          <w:tab w:val="left" w:pos="7253"/>
          <w:tab w:val="left" w:pos="10955"/>
        </w:tabs>
        <w:spacing w:before="240"/>
        <w:ind w:left="576"/>
        <w:rPr>
          <w:rFonts w:ascii="Arial" w:hAnsi="Arial" w:cs="Arial"/>
          <w:bCs/>
          <w:sz w:val="28"/>
          <w:szCs w:val="28"/>
        </w:rPr>
      </w:pPr>
      <w:r w:rsidRPr="00746D20">
        <w:rPr>
          <w:rFonts w:ascii="Arial" w:hAnsi="Arial" w:cs="Arial"/>
          <w:bCs/>
          <w:sz w:val="28"/>
          <w:szCs w:val="28"/>
        </w:rPr>
        <w:t xml:space="preserve">Rashodi – nefinancijska imovina </w:t>
      </w:r>
    </w:p>
    <w:p w14:paraId="464ED63A" w14:textId="77777777" w:rsidR="00285A95" w:rsidRPr="00C56F68" w:rsidRDefault="00285A95" w:rsidP="00285A95">
      <w:pPr>
        <w:jc w:val="both"/>
        <w:outlineLvl w:val="0"/>
        <w:rPr>
          <w:b/>
        </w:rPr>
      </w:pPr>
    </w:p>
    <w:p w14:paraId="597D3A13" w14:textId="77777777" w:rsidR="00285A95" w:rsidRPr="00746D20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bookmarkStart w:id="7" w:name="_Hlk140496080"/>
      <w:bookmarkStart w:id="8" w:name="_Hlk109050874"/>
      <w:r w:rsidRPr="00746D20">
        <w:rPr>
          <w:b/>
          <w:bCs/>
        </w:rPr>
        <w:t xml:space="preserve">Zemljište (cto 4111) – </w:t>
      </w:r>
      <w:r w:rsidRPr="00746D20">
        <w:t xml:space="preserve">rashod Međimurske županije, kupnja zemljišta kod Županijske bolnice Čakovec.  </w:t>
      </w:r>
    </w:p>
    <w:p w14:paraId="3429BDED" w14:textId="77777777" w:rsidR="00285A95" w:rsidRPr="00746D20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4067EA77" w14:textId="13B96FF7" w:rsidR="00285A95" w:rsidRPr="00746D20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eastAsia="Calibri"/>
          <w:bCs/>
          <w:sz w:val="22"/>
          <w:szCs w:val="22"/>
          <w:lang w:eastAsia="en-US"/>
        </w:rPr>
      </w:pPr>
      <w:r w:rsidRPr="00746D20">
        <w:rPr>
          <w:b/>
          <w:bCs/>
        </w:rPr>
        <w:t xml:space="preserve">Poslovni objekti (cto 4212) – </w:t>
      </w:r>
      <w:r w:rsidRPr="00746D20">
        <w:t>najveći udio</w:t>
      </w:r>
      <w:r w:rsidRPr="00746D20">
        <w:rPr>
          <w:b/>
          <w:bCs/>
        </w:rPr>
        <w:t xml:space="preserve"> </w:t>
      </w:r>
      <w:r w:rsidRPr="00746D20">
        <w:rPr>
          <w:bCs/>
        </w:rPr>
        <w:t xml:space="preserve">u iznosu od 386.307,69 eura obuhvaća </w:t>
      </w:r>
      <w:r w:rsidRPr="00746D20">
        <w:t xml:space="preserve">rashode za ulaganje u Poslovni park Čakovec od </w:t>
      </w:r>
      <w:bookmarkEnd w:id="7"/>
      <w:r w:rsidRPr="00746D20">
        <w:t>strane Međimurske županije</w:t>
      </w:r>
      <w:bookmarkEnd w:id="8"/>
      <w:r w:rsidRPr="00746D20">
        <w:t xml:space="preserve">, odnosi se na rashode za izvršene radove na kanalizaciji za Poslovni park i iznos ulaganja </w:t>
      </w:r>
      <w:r w:rsidR="0082282C">
        <w:t>je</w:t>
      </w:r>
      <w:r w:rsidRPr="00746D20">
        <w:t xml:space="preserve"> veći u odnosu na prethodno razdoblje kada se stavka teretila za iznos od 109.365,19 eura.</w:t>
      </w:r>
    </w:p>
    <w:p w14:paraId="6D9AA800" w14:textId="77777777" w:rsidR="00285A95" w:rsidRPr="00BA3152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</w:rPr>
      </w:pPr>
    </w:p>
    <w:p w14:paraId="612C00DC" w14:textId="77777777" w:rsidR="00285A95" w:rsidRPr="000359BE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  <w:bookmarkStart w:id="9" w:name="_Hlk109049794"/>
      <w:r w:rsidRPr="000359BE">
        <w:rPr>
          <w:b/>
          <w:bCs/>
        </w:rPr>
        <w:t>Uredska oprema i namještaj</w:t>
      </w:r>
      <w:r>
        <w:rPr>
          <w:b/>
          <w:bCs/>
        </w:rPr>
        <w:t xml:space="preserve"> (</w:t>
      </w:r>
      <w:r w:rsidRPr="000359BE">
        <w:rPr>
          <w:b/>
          <w:bCs/>
        </w:rPr>
        <w:t xml:space="preserve">4221) – </w:t>
      </w:r>
      <w:r w:rsidRPr="000359BE">
        <w:t xml:space="preserve">najveći udio </w:t>
      </w:r>
      <w:bookmarkEnd w:id="9"/>
      <w:r w:rsidRPr="000359BE">
        <w:t xml:space="preserve">u rashodima u iznosu od 175.160,36 eura ima Zavod za javno zdravstvo i bilježi povećanje od 991% zbog ulaganja u adaptaciju i nadogradnju Paviljona 4. </w:t>
      </w:r>
    </w:p>
    <w:p w14:paraId="7029D14F" w14:textId="77777777" w:rsidR="00285A95" w:rsidRPr="000359BE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0F4FB84A" w14:textId="77777777" w:rsidR="00285A95" w:rsidRPr="000359BE" w:rsidRDefault="00285A95" w:rsidP="00285A95">
      <w:pPr>
        <w:ind w:left="108"/>
        <w:jc w:val="both"/>
      </w:pPr>
      <w:r w:rsidRPr="000359BE">
        <w:rPr>
          <w:b/>
          <w:bCs/>
        </w:rPr>
        <w:t>Medicinska i laboratorijska oprema</w:t>
      </w:r>
      <w:r>
        <w:rPr>
          <w:b/>
          <w:bCs/>
        </w:rPr>
        <w:t xml:space="preserve"> (</w:t>
      </w:r>
      <w:r w:rsidRPr="000359BE">
        <w:rPr>
          <w:b/>
          <w:bCs/>
        </w:rPr>
        <w:t xml:space="preserve">4224) – </w:t>
      </w:r>
      <w:r w:rsidRPr="000359BE">
        <w:t>najveći udio u rashodima pripada Županijskoj bolnici Čakovec u iznosu od 177.792,00 eura koja bilježi smanjenje  rashoda od 38,7% zbog manje nabava iz decentraliziranih sredstava u trenutnom razdoblju.</w:t>
      </w:r>
    </w:p>
    <w:p w14:paraId="005DBAA4" w14:textId="77777777" w:rsidR="00285A95" w:rsidRPr="000359BE" w:rsidRDefault="00285A95" w:rsidP="00285A95">
      <w:pPr>
        <w:ind w:left="108"/>
        <w:jc w:val="both"/>
        <w:rPr>
          <w:i/>
          <w:iCs/>
        </w:rPr>
      </w:pPr>
    </w:p>
    <w:p w14:paraId="26CDCB32" w14:textId="5B6CC2FD" w:rsidR="00285A95" w:rsidRPr="000359BE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0359BE">
        <w:rPr>
          <w:b/>
        </w:rPr>
        <w:t xml:space="preserve">Uređaji, strojevi i oprema za ostale namjene </w:t>
      </w:r>
      <w:r>
        <w:rPr>
          <w:b/>
        </w:rPr>
        <w:t>(</w:t>
      </w:r>
      <w:r w:rsidRPr="000359BE">
        <w:rPr>
          <w:b/>
        </w:rPr>
        <w:t xml:space="preserve">4227) </w:t>
      </w:r>
      <w:r w:rsidRPr="000359BE">
        <w:rPr>
          <w:bCs/>
        </w:rPr>
        <w:t>– najveći udio u rashodima pripada Tehničkoj školi Čakovec (367.483,05 eura), a zbog opremanja Regionalnog centra kompetencija koji se dijelom financira sredstvima EU</w:t>
      </w:r>
      <w:r w:rsidR="00E32303">
        <w:rPr>
          <w:bCs/>
        </w:rPr>
        <w:t>,</w:t>
      </w:r>
      <w:r w:rsidRPr="000359BE">
        <w:rPr>
          <w:bCs/>
        </w:rPr>
        <w:t xml:space="preserve"> u prethodnom je razdoblju škola imala veće rashode za 42,60%.</w:t>
      </w:r>
    </w:p>
    <w:p w14:paraId="3FF8F7AF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4D42D77B" w14:textId="77777777" w:rsidR="00285A95" w:rsidRPr="000359BE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0359BE">
        <w:rPr>
          <w:b/>
        </w:rPr>
        <w:t>Umjetnička djela (izložena u galerijama, muzejima i sl.)</w:t>
      </w:r>
      <w:r>
        <w:rPr>
          <w:b/>
        </w:rPr>
        <w:t xml:space="preserve"> (</w:t>
      </w:r>
      <w:r w:rsidRPr="000359BE">
        <w:rPr>
          <w:b/>
        </w:rPr>
        <w:t>4242)</w:t>
      </w:r>
      <w:r w:rsidRPr="000359BE">
        <w:rPr>
          <w:bCs/>
        </w:rPr>
        <w:t xml:space="preserve"> – rashodi u prethodnom razdoblju kod Muzeja Čakovec iznosili su 32.006,21 eura dok ih u ovom razdoblju nema. U ovom razdoblju </w:t>
      </w:r>
      <w:r>
        <w:rPr>
          <w:bCs/>
        </w:rPr>
        <w:t xml:space="preserve">ukupan </w:t>
      </w:r>
      <w:r w:rsidRPr="000359BE">
        <w:rPr>
          <w:bCs/>
        </w:rPr>
        <w:t xml:space="preserve">iznos </w:t>
      </w:r>
      <w:r>
        <w:rPr>
          <w:bCs/>
        </w:rPr>
        <w:t>na navedenoj stavci</w:t>
      </w:r>
      <w:r w:rsidRPr="000359BE">
        <w:rPr>
          <w:bCs/>
        </w:rPr>
        <w:t xml:space="preserve"> pripada Graditeljskoj školi Čakovec.</w:t>
      </w:r>
    </w:p>
    <w:p w14:paraId="18515A89" w14:textId="77777777" w:rsidR="00285A95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rFonts w:ascii="Arial" w:hAnsi="Arial" w:cs="Arial"/>
          <w:bCs/>
        </w:rPr>
      </w:pPr>
    </w:p>
    <w:p w14:paraId="040AECE0" w14:textId="77777777" w:rsidR="00285A95" w:rsidRPr="004C6BDC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4C6BDC">
        <w:rPr>
          <w:b/>
        </w:rPr>
        <w:t>Ulaganja u računalne progr</w:t>
      </w:r>
      <w:r>
        <w:rPr>
          <w:b/>
        </w:rPr>
        <w:t>ame (</w:t>
      </w:r>
      <w:r w:rsidRPr="004C6BDC">
        <w:rPr>
          <w:b/>
        </w:rPr>
        <w:t xml:space="preserve">4262) </w:t>
      </w:r>
      <w:r w:rsidRPr="004C6BDC">
        <w:rPr>
          <w:bCs/>
        </w:rPr>
        <w:t>– najveći dio u rashodima pripada Županijskoj bolnici Čakovec u iznosu od 11.566,80 eura, slijedi Tehnička škola Čakovec (10.552,96 eura) koja je u ovom razdoblju za 86,8% manje ulagala u računalne programe u odnosu na prethodno razdoblje kada je opremala Regionalni centar kompetencija.</w:t>
      </w:r>
    </w:p>
    <w:p w14:paraId="322DFC35" w14:textId="77777777" w:rsidR="00285A95" w:rsidRPr="00852427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p w14:paraId="293144E3" w14:textId="77777777" w:rsidR="00285A95" w:rsidRPr="00852427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852427">
        <w:rPr>
          <w:b/>
          <w:bCs/>
        </w:rPr>
        <w:t xml:space="preserve">Dodatna ulaganja na građevinskim objektima (konto 451) – </w:t>
      </w:r>
      <w:r w:rsidRPr="00852427">
        <w:rPr>
          <w:bCs/>
        </w:rPr>
        <w:t xml:space="preserve">najveći dio ulaganja pripada Muzeju Međimurja u iznosu od 2.549.023,06 eura i odnosi se na sanaciju od potresa, Međimurskoj županiji za navedene rashode pripada iznos od 1.777.365,23 eura (povećanje za 89% u odnosu na prethodno </w:t>
      </w:r>
      <w:r w:rsidRPr="00852427">
        <w:rPr>
          <w:bCs/>
        </w:rPr>
        <w:lastRenderedPageBreak/>
        <w:t>razdoblje), i to najvećim dijelom za ulaganja na projekt energetske obnove Županijske bolnice Čakovec u visini od 761.569,23 eura, slijede ulaganja vezana uz obnovu unutrašnjosti sportske dvorane u Graditeljskoj školi Čakovec u iznosu od 200.974,86 eura, Sufinanciranje objekata u odgoju i obrazovanju iznosilo je 322.023,66 eura od čega sanacija od potresa za OŠ Goričan, PŠ Palinovec i PŠ Sivica iznosi 223.963,24 eura, Revitalizacija kaštela Feštetić iznosi 2.416,13 eura, a Rekonstrukcija zgrade Feštetić u Čakovcu odnosi se na sanaciju od potresa i iznosi 190.707,86 eura, rekonstrukcija zgrada u Ulici Matice hrvatske-ambulante terete stavku rashoda za sanacije od potresa u visini od 298.843,96 eura dok se za zgradu Scheier utrošilo 829,53 eura. Za sufinanciranje obnove objekata u odgoju i obrazovanju iz decentraliziranih funkcija utrošeno je u ovom razdoblju 98.060,42 eura. Ostala udio u ulaganjima se odnosi na ostale proračunske korisnike u znatnom manjem dijelu.</w:t>
      </w:r>
    </w:p>
    <w:p w14:paraId="622C84D1" w14:textId="77777777" w:rsidR="00285A95" w:rsidRPr="00852427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p w14:paraId="60F02349" w14:textId="77777777" w:rsidR="00285A95" w:rsidRPr="00852427" w:rsidRDefault="00285A95" w:rsidP="00285A95">
      <w:pPr>
        <w:tabs>
          <w:tab w:val="left" w:pos="1041"/>
          <w:tab w:val="left" w:pos="1906"/>
          <w:tab w:val="left" w:pos="7253"/>
          <w:tab w:val="left" w:pos="10955"/>
        </w:tabs>
        <w:spacing w:after="200"/>
        <w:ind w:left="108"/>
        <w:jc w:val="both"/>
        <w:rPr>
          <w:rFonts w:eastAsia="Calibri"/>
          <w:lang w:eastAsia="en-US"/>
        </w:rPr>
      </w:pPr>
      <w:r w:rsidRPr="00852427">
        <w:rPr>
          <w:rFonts w:eastAsia="Calibri"/>
          <w:b/>
          <w:bCs/>
          <w:lang w:eastAsia="en-US"/>
        </w:rPr>
        <w:t xml:space="preserve">Dodatna ulaganja na postrojenjima i opremi (konto 452)  – </w:t>
      </w:r>
      <w:r w:rsidRPr="00852427">
        <w:rPr>
          <w:rFonts w:eastAsia="Calibri"/>
          <w:lang w:eastAsia="en-US"/>
        </w:rPr>
        <w:t>odnosi se na ulaganje Međimurske županije u sustav navodnjavanja Belica i iznosi vrijednost ulaganja od 8.096,09 eura. Unutar stavke rashoda sadržan je i iznos sufinanciranja Hrvatskih voda u iznosu od 80%.</w:t>
      </w:r>
    </w:p>
    <w:p w14:paraId="77868DCB" w14:textId="77777777" w:rsidR="00285A95" w:rsidRDefault="00285A95" w:rsidP="00497DEB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  <w:r w:rsidRPr="00852427">
        <w:rPr>
          <w:b/>
          <w:bCs/>
        </w:rPr>
        <w:t>Dodatna ulaganja za ostalu nefinancijsku imovinu</w:t>
      </w:r>
      <w:r w:rsidRPr="00852427">
        <w:rPr>
          <w:bCs/>
        </w:rPr>
        <w:t xml:space="preserve"> (cto 454) – odnosi se na ulaganja i radove na uređenju parka na Projektu Eco Bridge koje je u prethodnom razdoblju provodila Međimurska županija dok na navedenom ulaganju u ovom razdoblju nisu evidentirani ra</w:t>
      </w:r>
      <w:r w:rsidR="002671C7">
        <w:rPr>
          <w:bCs/>
        </w:rPr>
        <w:t>shodi.</w:t>
      </w:r>
    </w:p>
    <w:p w14:paraId="7FFAA29F" w14:textId="77777777" w:rsidR="00497DEB" w:rsidRDefault="00497DEB" w:rsidP="00497DEB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</w:pPr>
    </w:p>
    <w:p w14:paraId="4D3DB3F5" w14:textId="77777777" w:rsidR="00497DEB" w:rsidRDefault="00497DEB" w:rsidP="00497DEB">
      <w:pPr>
        <w:tabs>
          <w:tab w:val="left" w:pos="1041"/>
          <w:tab w:val="left" w:pos="7253"/>
          <w:tab w:val="left" w:pos="10955"/>
        </w:tabs>
        <w:spacing w:before="240"/>
        <w:ind w:left="57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Primici od financijske imovine i zaduživanja </w:t>
      </w:r>
    </w:p>
    <w:p w14:paraId="532DA421" w14:textId="77777777" w:rsidR="00497DEB" w:rsidRPr="00497DEB" w:rsidRDefault="00497DEB" w:rsidP="00497DEB">
      <w:pPr>
        <w:tabs>
          <w:tab w:val="left" w:pos="7253"/>
          <w:tab w:val="left" w:pos="10955"/>
        </w:tabs>
        <w:ind w:left="108"/>
        <w:jc w:val="both"/>
        <w:rPr>
          <w:b/>
          <w:bCs/>
        </w:rPr>
      </w:pPr>
    </w:p>
    <w:p w14:paraId="18FE75EF" w14:textId="77777777" w:rsidR="00497DEB" w:rsidRPr="00497DEB" w:rsidRDefault="00497DEB" w:rsidP="00497DEB">
      <w:pPr>
        <w:tabs>
          <w:tab w:val="left" w:pos="7253"/>
          <w:tab w:val="left" w:pos="10955"/>
        </w:tabs>
        <w:ind w:left="108"/>
        <w:jc w:val="both"/>
      </w:pPr>
      <w:r w:rsidRPr="00497DEB">
        <w:rPr>
          <w:b/>
          <w:bCs/>
        </w:rPr>
        <w:t xml:space="preserve">Povrat zajmova danih tuzemnim trgovačkim društvima izvan javnog sektora (cto 8163) – </w:t>
      </w:r>
      <w:r w:rsidRPr="00497DEB">
        <w:t>ukupni primici se odnose na Dom zdravlja koji na navedenoj stavci evidentira prodaju dugotrajne nefinancijske imovine na rate, odnosno robni zajam nositeljima privatne prakse u Čakovcu. U prethodnom razdoblju navedeni primici bili su znatno manji.</w:t>
      </w:r>
    </w:p>
    <w:p w14:paraId="74FF1389" w14:textId="77777777" w:rsidR="00497DEB" w:rsidRDefault="00497DEB" w:rsidP="00497DEB">
      <w:pPr>
        <w:tabs>
          <w:tab w:val="left" w:pos="7253"/>
          <w:tab w:val="left" w:pos="10955"/>
        </w:tabs>
        <w:jc w:val="both"/>
        <w:rPr>
          <w:rFonts w:ascii="Arial" w:hAnsi="Arial" w:cs="Arial"/>
          <w:bCs/>
          <w:sz w:val="28"/>
          <w:szCs w:val="28"/>
        </w:rPr>
      </w:pPr>
    </w:p>
    <w:p w14:paraId="789D5412" w14:textId="77777777" w:rsidR="00497DEB" w:rsidRDefault="00497DEB" w:rsidP="00497DEB">
      <w:pPr>
        <w:tabs>
          <w:tab w:val="left" w:pos="1041"/>
          <w:tab w:val="left" w:pos="7253"/>
          <w:tab w:val="left" w:pos="10955"/>
        </w:tabs>
        <w:spacing w:before="240"/>
        <w:ind w:left="57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Izdaci od financijske imovine i zaduživanja </w:t>
      </w:r>
    </w:p>
    <w:p w14:paraId="46AF268F" w14:textId="77777777" w:rsidR="00497DEB" w:rsidRDefault="00497DEB" w:rsidP="00497DEB">
      <w:pPr>
        <w:jc w:val="both"/>
        <w:rPr>
          <w:rFonts w:ascii="Arial" w:hAnsi="Arial" w:cs="Arial"/>
          <w:b/>
        </w:rPr>
      </w:pPr>
    </w:p>
    <w:p w14:paraId="486704B4" w14:textId="77777777" w:rsidR="00497DEB" w:rsidRPr="00497DEB" w:rsidRDefault="00497DEB" w:rsidP="00497DEB">
      <w:pPr>
        <w:jc w:val="both"/>
      </w:pPr>
      <w:r w:rsidRPr="00497DEB">
        <w:rPr>
          <w:b/>
        </w:rPr>
        <w:t xml:space="preserve">Dani zajmovi tuzemnim trgovačkim društvima izvan javnog sektora (cto 5163) – </w:t>
      </w:r>
      <w:r w:rsidRPr="00497DEB">
        <w:t>izdatak Doma zdravlja za odobrenu prodaju dugotrajne nefinancijske imovine na rate, odnosno robni zajam nositeljici privatne ginekološke i pedijatrijske prakse u Čakovcu.</w:t>
      </w:r>
    </w:p>
    <w:p w14:paraId="332C558B" w14:textId="77777777" w:rsidR="00497DEB" w:rsidRPr="00497DEB" w:rsidRDefault="00497DEB" w:rsidP="00497DEB">
      <w:pPr>
        <w:tabs>
          <w:tab w:val="left" w:pos="1041"/>
          <w:tab w:val="left" w:pos="7253"/>
          <w:tab w:val="left" w:pos="10955"/>
        </w:tabs>
        <w:jc w:val="both"/>
        <w:rPr>
          <w:bCs/>
        </w:rPr>
      </w:pPr>
    </w:p>
    <w:p w14:paraId="46DA7B67" w14:textId="77777777" w:rsidR="00497DEB" w:rsidRPr="00497DEB" w:rsidRDefault="00497DEB" w:rsidP="00497DEB">
      <w:pPr>
        <w:tabs>
          <w:tab w:val="left" w:pos="1041"/>
          <w:tab w:val="left" w:pos="7253"/>
          <w:tab w:val="left" w:pos="10955"/>
        </w:tabs>
        <w:jc w:val="both"/>
      </w:pPr>
      <w:r w:rsidRPr="00497DEB">
        <w:rPr>
          <w:b/>
        </w:rPr>
        <w:t xml:space="preserve">Otplata glavnice primljenih kredita od tuzemnih institucija izvan javnog sektora (cto 5443) – </w:t>
      </w:r>
      <w:r w:rsidRPr="00497DEB">
        <w:t>Međimurska županija je u prethodnom razdoblju platila obveze u iznosu od 1.327.228,08 eura po kratkoročnom zaduženju prema Ugovoru o kreditu dok u ovom razdoblju nema takvog izdatka. U ovom je razdoblju evidentiran povrat glavnice po kreditu od strane Doma zdravlja koji se financira iz decentraliziranih sredstava u iznosu od 205.720,00 eura i iznos je istovjetan otplati u prethodnom razdoblju.</w:t>
      </w:r>
    </w:p>
    <w:p w14:paraId="46BD0A51" w14:textId="77777777" w:rsidR="00497DEB" w:rsidRDefault="00497DEB" w:rsidP="00497DEB">
      <w:pPr>
        <w:jc w:val="both"/>
        <w:rPr>
          <w:rFonts w:ascii="Arial" w:hAnsi="Arial" w:cs="Arial"/>
          <w:b/>
        </w:rPr>
      </w:pPr>
    </w:p>
    <w:p w14:paraId="5D418E7B" w14:textId="77777777" w:rsidR="00497DEB" w:rsidRPr="00497DEB" w:rsidRDefault="00497DEB" w:rsidP="00497DEB">
      <w:pPr>
        <w:jc w:val="both"/>
      </w:pPr>
      <w:r w:rsidRPr="00497DEB">
        <w:rPr>
          <w:b/>
        </w:rPr>
        <w:t xml:space="preserve">Otplata glavnice primljenih zajmova od državnog proračuna (cto 5471) – </w:t>
      </w:r>
      <w:r w:rsidRPr="00497DEB">
        <w:t>Iznos od 335.575,10 utrošen je za povrat namirenja poreza prema godišnjoj prijavi u 2022. godini, a koji je  podmiren iz državnog proračuna i prikazan u 2021. godini kao primljeni kratkoročni zajam. Isplate povrata namirenja su u 2023. godini, za 2022. godinu predviđene kroz četiri obroka u ukupnom iznosu od 122.570,24 eura. U ovom obračunskom razdoblju realizirana su sva četiri obroka i za 63,50% su manji izdaci u odnosu na prethodno usporedivo razdoblje.</w:t>
      </w:r>
    </w:p>
    <w:p w14:paraId="3703E258" w14:textId="77777777" w:rsidR="00497DEB" w:rsidRPr="00497DEB" w:rsidRDefault="00497DEB" w:rsidP="00497DEB">
      <w:pPr>
        <w:tabs>
          <w:tab w:val="left" w:pos="1041"/>
          <w:tab w:val="left" w:pos="1906"/>
          <w:tab w:val="left" w:pos="7253"/>
          <w:tab w:val="left" w:pos="10955"/>
        </w:tabs>
        <w:ind w:left="108"/>
        <w:jc w:val="both"/>
        <w:rPr>
          <w:bCs/>
        </w:rPr>
      </w:pPr>
    </w:p>
    <w:sectPr w:rsidR="00497DEB" w:rsidRPr="00497DEB" w:rsidSect="009D16D4">
      <w:footerReference w:type="first" r:id="rId12"/>
      <w:pgSz w:w="11906" w:h="16838" w:code="9"/>
      <w:pgMar w:top="289" w:right="851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CB96" w14:textId="77777777" w:rsidR="000A2618" w:rsidRDefault="000A2618" w:rsidP="003B76D8">
      <w:r>
        <w:separator/>
      </w:r>
    </w:p>
  </w:endnote>
  <w:endnote w:type="continuationSeparator" w:id="0">
    <w:p w14:paraId="2F9180FD" w14:textId="77777777" w:rsidR="000A2618" w:rsidRDefault="000A2618" w:rsidP="003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1B15" w14:textId="75D73389" w:rsidR="009D16D4" w:rsidRDefault="009D16D4">
    <w:pPr>
      <w:pStyle w:val="Podnoje"/>
      <w:jc w:val="right"/>
    </w:pPr>
  </w:p>
  <w:p w14:paraId="14B105E0" w14:textId="77777777" w:rsidR="0026086B" w:rsidRDefault="002608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F500" w14:textId="77777777" w:rsidR="000A2618" w:rsidRDefault="000A2618" w:rsidP="003B76D8">
      <w:r>
        <w:separator/>
      </w:r>
    </w:p>
  </w:footnote>
  <w:footnote w:type="continuationSeparator" w:id="0">
    <w:p w14:paraId="25C3EF0C" w14:textId="77777777" w:rsidR="000A2618" w:rsidRDefault="000A2618" w:rsidP="003B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E3D"/>
    <w:multiLevelType w:val="hybridMultilevel"/>
    <w:tmpl w:val="05D66610"/>
    <w:lvl w:ilvl="0" w:tplc="7834F57A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1D664DA0">
      <w:start w:val="1"/>
      <w:numFmt w:val="bullet"/>
      <w:lvlText w:val="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1891850"/>
    <w:multiLevelType w:val="hybridMultilevel"/>
    <w:tmpl w:val="E312D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6F13"/>
    <w:multiLevelType w:val="hybridMultilevel"/>
    <w:tmpl w:val="126E8746"/>
    <w:lvl w:ilvl="0" w:tplc="1506F10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1F4151"/>
    <w:multiLevelType w:val="hybridMultilevel"/>
    <w:tmpl w:val="24AC320C"/>
    <w:lvl w:ilvl="0" w:tplc="145C72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3584D"/>
    <w:multiLevelType w:val="hybridMultilevel"/>
    <w:tmpl w:val="B224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A22"/>
    <w:multiLevelType w:val="hybridMultilevel"/>
    <w:tmpl w:val="CC403682"/>
    <w:lvl w:ilvl="0" w:tplc="14B4BD68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91" w:hanging="360"/>
      </w:pPr>
    </w:lvl>
    <w:lvl w:ilvl="2" w:tplc="041A001B" w:tentative="1">
      <w:start w:val="1"/>
      <w:numFmt w:val="lowerRoman"/>
      <w:lvlText w:val="%3."/>
      <w:lvlJc w:val="right"/>
      <w:pPr>
        <w:ind w:left="2711" w:hanging="180"/>
      </w:pPr>
    </w:lvl>
    <w:lvl w:ilvl="3" w:tplc="041A000F" w:tentative="1">
      <w:start w:val="1"/>
      <w:numFmt w:val="decimal"/>
      <w:lvlText w:val="%4."/>
      <w:lvlJc w:val="left"/>
      <w:pPr>
        <w:ind w:left="3431" w:hanging="360"/>
      </w:pPr>
    </w:lvl>
    <w:lvl w:ilvl="4" w:tplc="041A0019" w:tentative="1">
      <w:start w:val="1"/>
      <w:numFmt w:val="lowerLetter"/>
      <w:lvlText w:val="%5."/>
      <w:lvlJc w:val="left"/>
      <w:pPr>
        <w:ind w:left="4151" w:hanging="360"/>
      </w:pPr>
    </w:lvl>
    <w:lvl w:ilvl="5" w:tplc="041A001B" w:tentative="1">
      <w:start w:val="1"/>
      <w:numFmt w:val="lowerRoman"/>
      <w:lvlText w:val="%6."/>
      <w:lvlJc w:val="right"/>
      <w:pPr>
        <w:ind w:left="4871" w:hanging="180"/>
      </w:pPr>
    </w:lvl>
    <w:lvl w:ilvl="6" w:tplc="041A000F" w:tentative="1">
      <w:start w:val="1"/>
      <w:numFmt w:val="decimal"/>
      <w:lvlText w:val="%7."/>
      <w:lvlJc w:val="left"/>
      <w:pPr>
        <w:ind w:left="5591" w:hanging="360"/>
      </w:pPr>
    </w:lvl>
    <w:lvl w:ilvl="7" w:tplc="041A0019" w:tentative="1">
      <w:start w:val="1"/>
      <w:numFmt w:val="lowerLetter"/>
      <w:lvlText w:val="%8."/>
      <w:lvlJc w:val="left"/>
      <w:pPr>
        <w:ind w:left="6311" w:hanging="360"/>
      </w:pPr>
    </w:lvl>
    <w:lvl w:ilvl="8" w:tplc="041A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34FF5B06"/>
    <w:multiLevelType w:val="hybridMultilevel"/>
    <w:tmpl w:val="BC5EF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4201E"/>
    <w:multiLevelType w:val="hybridMultilevel"/>
    <w:tmpl w:val="431CF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55CF"/>
    <w:multiLevelType w:val="hybridMultilevel"/>
    <w:tmpl w:val="8C4E1ACC"/>
    <w:lvl w:ilvl="0" w:tplc="2258E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7242C3"/>
    <w:multiLevelType w:val="hybridMultilevel"/>
    <w:tmpl w:val="F36AE2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16EF"/>
    <w:multiLevelType w:val="hybridMultilevel"/>
    <w:tmpl w:val="C772F5C6"/>
    <w:lvl w:ilvl="0" w:tplc="0FE08B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D9A507D"/>
    <w:multiLevelType w:val="hybridMultilevel"/>
    <w:tmpl w:val="4510D6B6"/>
    <w:lvl w:ilvl="0" w:tplc="145C72C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3872"/>
    <w:multiLevelType w:val="hybridMultilevel"/>
    <w:tmpl w:val="17463B28"/>
    <w:lvl w:ilvl="0" w:tplc="59F6859C">
      <w:start w:val="1"/>
      <w:numFmt w:val="bullet"/>
      <w:lvlText w:val="-"/>
      <w:lvlJc w:val="left"/>
      <w:pPr>
        <w:ind w:left="8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500107F8"/>
    <w:multiLevelType w:val="multilevel"/>
    <w:tmpl w:val="7F16F7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  <w:sz w:val="24"/>
      </w:rPr>
    </w:lvl>
  </w:abstractNum>
  <w:abstractNum w:abstractNumId="14" w15:restartNumberingAfterBreak="0">
    <w:nsid w:val="53AA6643"/>
    <w:multiLevelType w:val="hybridMultilevel"/>
    <w:tmpl w:val="B6C40F16"/>
    <w:lvl w:ilvl="0" w:tplc="145C7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3689E"/>
    <w:multiLevelType w:val="hybridMultilevel"/>
    <w:tmpl w:val="6F4AE6FA"/>
    <w:lvl w:ilvl="0" w:tplc="145C72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153B9"/>
    <w:multiLevelType w:val="hybridMultilevel"/>
    <w:tmpl w:val="00BCA59C"/>
    <w:lvl w:ilvl="0" w:tplc="1F58E4C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1B94CF6"/>
    <w:multiLevelType w:val="hybridMultilevel"/>
    <w:tmpl w:val="33CC8796"/>
    <w:lvl w:ilvl="0" w:tplc="6E7E61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B7C5D"/>
    <w:multiLevelType w:val="hybridMultilevel"/>
    <w:tmpl w:val="D500DD08"/>
    <w:lvl w:ilvl="0" w:tplc="4D7050D0">
      <w:start w:val="1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B1843"/>
    <w:multiLevelType w:val="hybridMultilevel"/>
    <w:tmpl w:val="7EAAC7F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17D00"/>
    <w:multiLevelType w:val="hybridMultilevel"/>
    <w:tmpl w:val="39D62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5BC2"/>
    <w:multiLevelType w:val="hybridMultilevel"/>
    <w:tmpl w:val="EA6A9838"/>
    <w:lvl w:ilvl="0" w:tplc="AF66820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6AF66C8"/>
    <w:multiLevelType w:val="hybridMultilevel"/>
    <w:tmpl w:val="B224B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72310">
    <w:abstractNumId w:val="18"/>
  </w:num>
  <w:num w:numId="2" w16cid:durableId="775713547">
    <w:abstractNumId w:val="13"/>
  </w:num>
  <w:num w:numId="3" w16cid:durableId="338780624">
    <w:abstractNumId w:val="16"/>
  </w:num>
  <w:num w:numId="4" w16cid:durableId="1786536338">
    <w:abstractNumId w:val="0"/>
  </w:num>
  <w:num w:numId="5" w16cid:durableId="744033964">
    <w:abstractNumId w:val="3"/>
  </w:num>
  <w:num w:numId="6" w16cid:durableId="693380959">
    <w:abstractNumId w:val="15"/>
  </w:num>
  <w:num w:numId="7" w16cid:durableId="1784301195">
    <w:abstractNumId w:val="5"/>
  </w:num>
  <w:num w:numId="8" w16cid:durableId="1303924771">
    <w:abstractNumId w:val="21"/>
  </w:num>
  <w:num w:numId="9" w16cid:durableId="649943306">
    <w:abstractNumId w:val="9"/>
  </w:num>
  <w:num w:numId="10" w16cid:durableId="68428029">
    <w:abstractNumId w:val="1"/>
  </w:num>
  <w:num w:numId="11" w16cid:durableId="333807095">
    <w:abstractNumId w:val="17"/>
  </w:num>
  <w:num w:numId="12" w16cid:durableId="816066720">
    <w:abstractNumId w:val="20"/>
  </w:num>
  <w:num w:numId="13" w16cid:durableId="15618068">
    <w:abstractNumId w:val="22"/>
  </w:num>
  <w:num w:numId="14" w16cid:durableId="585504606">
    <w:abstractNumId w:val="4"/>
  </w:num>
  <w:num w:numId="15" w16cid:durableId="1835030008">
    <w:abstractNumId w:val="11"/>
  </w:num>
  <w:num w:numId="16" w16cid:durableId="1944536931">
    <w:abstractNumId w:val="2"/>
  </w:num>
  <w:num w:numId="17" w16cid:durableId="65425111">
    <w:abstractNumId w:val="12"/>
  </w:num>
  <w:num w:numId="18" w16cid:durableId="671419487">
    <w:abstractNumId w:val="10"/>
  </w:num>
  <w:num w:numId="19" w16cid:durableId="1458067237">
    <w:abstractNumId w:val="7"/>
  </w:num>
  <w:num w:numId="20" w16cid:durableId="1698192722">
    <w:abstractNumId w:val="6"/>
  </w:num>
  <w:num w:numId="21" w16cid:durableId="2023237242">
    <w:abstractNumId w:val="19"/>
  </w:num>
  <w:num w:numId="22" w16cid:durableId="769204742">
    <w:abstractNumId w:val="14"/>
  </w:num>
  <w:num w:numId="23" w16cid:durableId="1264411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D8"/>
    <w:rsid w:val="00000C9E"/>
    <w:rsid w:val="00003734"/>
    <w:rsid w:val="00004C97"/>
    <w:rsid w:val="000065B2"/>
    <w:rsid w:val="00007289"/>
    <w:rsid w:val="00020D16"/>
    <w:rsid w:val="000235F7"/>
    <w:rsid w:val="00025D3D"/>
    <w:rsid w:val="00025D86"/>
    <w:rsid w:val="000262EF"/>
    <w:rsid w:val="00030DCA"/>
    <w:rsid w:val="0003168F"/>
    <w:rsid w:val="000334FD"/>
    <w:rsid w:val="000358D8"/>
    <w:rsid w:val="000359BE"/>
    <w:rsid w:val="00040B33"/>
    <w:rsid w:val="00041C0E"/>
    <w:rsid w:val="000434F7"/>
    <w:rsid w:val="0005446B"/>
    <w:rsid w:val="00057680"/>
    <w:rsid w:val="00063E55"/>
    <w:rsid w:val="00066E01"/>
    <w:rsid w:val="0006795C"/>
    <w:rsid w:val="000801F9"/>
    <w:rsid w:val="0008563F"/>
    <w:rsid w:val="00091EF2"/>
    <w:rsid w:val="00092267"/>
    <w:rsid w:val="00092A65"/>
    <w:rsid w:val="000A1348"/>
    <w:rsid w:val="000A2618"/>
    <w:rsid w:val="000A4B70"/>
    <w:rsid w:val="000B269B"/>
    <w:rsid w:val="000B304A"/>
    <w:rsid w:val="000B7C91"/>
    <w:rsid w:val="000D213F"/>
    <w:rsid w:val="000D2D06"/>
    <w:rsid w:val="000D3F2B"/>
    <w:rsid w:val="000D44FB"/>
    <w:rsid w:val="000D4BC5"/>
    <w:rsid w:val="000E552D"/>
    <w:rsid w:val="000E6B8C"/>
    <w:rsid w:val="000E6DB8"/>
    <w:rsid w:val="000E7D24"/>
    <w:rsid w:val="000F0423"/>
    <w:rsid w:val="000F3797"/>
    <w:rsid w:val="000F4450"/>
    <w:rsid w:val="000F5253"/>
    <w:rsid w:val="00110B56"/>
    <w:rsid w:val="0011404E"/>
    <w:rsid w:val="0011603F"/>
    <w:rsid w:val="00116279"/>
    <w:rsid w:val="0012133D"/>
    <w:rsid w:val="00122433"/>
    <w:rsid w:val="001232C3"/>
    <w:rsid w:val="00125D51"/>
    <w:rsid w:val="0013335C"/>
    <w:rsid w:val="00136BD6"/>
    <w:rsid w:val="001406AD"/>
    <w:rsid w:val="0014745F"/>
    <w:rsid w:val="00153618"/>
    <w:rsid w:val="001570BE"/>
    <w:rsid w:val="0016248E"/>
    <w:rsid w:val="00167FB2"/>
    <w:rsid w:val="00171423"/>
    <w:rsid w:val="001734D3"/>
    <w:rsid w:val="00174929"/>
    <w:rsid w:val="00175C0F"/>
    <w:rsid w:val="00175D74"/>
    <w:rsid w:val="001769B8"/>
    <w:rsid w:val="00176E6E"/>
    <w:rsid w:val="00177771"/>
    <w:rsid w:val="0018093F"/>
    <w:rsid w:val="001829F4"/>
    <w:rsid w:val="00191A48"/>
    <w:rsid w:val="0019499E"/>
    <w:rsid w:val="0019634C"/>
    <w:rsid w:val="001A0D3E"/>
    <w:rsid w:val="001A247A"/>
    <w:rsid w:val="001A2578"/>
    <w:rsid w:val="001A33B9"/>
    <w:rsid w:val="001A3699"/>
    <w:rsid w:val="001B041F"/>
    <w:rsid w:val="001B6208"/>
    <w:rsid w:val="001B6AA4"/>
    <w:rsid w:val="001C1A15"/>
    <w:rsid w:val="001C3A98"/>
    <w:rsid w:val="001C41DC"/>
    <w:rsid w:val="001C4386"/>
    <w:rsid w:val="001C5421"/>
    <w:rsid w:val="001C6E50"/>
    <w:rsid w:val="001D3E40"/>
    <w:rsid w:val="001D6D9C"/>
    <w:rsid w:val="001E0037"/>
    <w:rsid w:val="001E2539"/>
    <w:rsid w:val="001E3768"/>
    <w:rsid w:val="001E71CE"/>
    <w:rsid w:val="001F01A2"/>
    <w:rsid w:val="001F0DD7"/>
    <w:rsid w:val="001F383C"/>
    <w:rsid w:val="00223C42"/>
    <w:rsid w:val="0022605E"/>
    <w:rsid w:val="002268B0"/>
    <w:rsid w:val="002270B0"/>
    <w:rsid w:val="00227F31"/>
    <w:rsid w:val="002319F5"/>
    <w:rsid w:val="00232F86"/>
    <w:rsid w:val="00236288"/>
    <w:rsid w:val="0025076C"/>
    <w:rsid w:val="0025153E"/>
    <w:rsid w:val="00251595"/>
    <w:rsid w:val="0025165B"/>
    <w:rsid w:val="00251EA6"/>
    <w:rsid w:val="0026086B"/>
    <w:rsid w:val="00263E3B"/>
    <w:rsid w:val="00264C60"/>
    <w:rsid w:val="002671C7"/>
    <w:rsid w:val="00276884"/>
    <w:rsid w:val="00282789"/>
    <w:rsid w:val="00285A95"/>
    <w:rsid w:val="002929B1"/>
    <w:rsid w:val="00293567"/>
    <w:rsid w:val="00293AEB"/>
    <w:rsid w:val="00295356"/>
    <w:rsid w:val="00295BAF"/>
    <w:rsid w:val="00296C27"/>
    <w:rsid w:val="00297EBA"/>
    <w:rsid w:val="002A4BC0"/>
    <w:rsid w:val="002B0DA1"/>
    <w:rsid w:val="002B2370"/>
    <w:rsid w:val="002B6A39"/>
    <w:rsid w:val="002B71DD"/>
    <w:rsid w:val="002C4C25"/>
    <w:rsid w:val="002C5131"/>
    <w:rsid w:val="002D274B"/>
    <w:rsid w:val="002D34B2"/>
    <w:rsid w:val="002D7049"/>
    <w:rsid w:val="002E3188"/>
    <w:rsid w:val="002E3ACC"/>
    <w:rsid w:val="002F2DF8"/>
    <w:rsid w:val="002F7618"/>
    <w:rsid w:val="002F76C9"/>
    <w:rsid w:val="00300126"/>
    <w:rsid w:val="003001F4"/>
    <w:rsid w:val="00303798"/>
    <w:rsid w:val="00304AF6"/>
    <w:rsid w:val="0030529D"/>
    <w:rsid w:val="00310B86"/>
    <w:rsid w:val="003114EE"/>
    <w:rsid w:val="00312421"/>
    <w:rsid w:val="00322AE0"/>
    <w:rsid w:val="0032378C"/>
    <w:rsid w:val="00332908"/>
    <w:rsid w:val="00333A84"/>
    <w:rsid w:val="00336942"/>
    <w:rsid w:val="003402D6"/>
    <w:rsid w:val="00344AA4"/>
    <w:rsid w:val="00344C9F"/>
    <w:rsid w:val="0037300A"/>
    <w:rsid w:val="00373288"/>
    <w:rsid w:val="00374B53"/>
    <w:rsid w:val="003803F6"/>
    <w:rsid w:val="00382742"/>
    <w:rsid w:val="0038395B"/>
    <w:rsid w:val="00385B8D"/>
    <w:rsid w:val="00391618"/>
    <w:rsid w:val="00393B9D"/>
    <w:rsid w:val="00394331"/>
    <w:rsid w:val="00394A98"/>
    <w:rsid w:val="00396AC5"/>
    <w:rsid w:val="003B73C1"/>
    <w:rsid w:val="003B76D8"/>
    <w:rsid w:val="003C0CE6"/>
    <w:rsid w:val="003C5376"/>
    <w:rsid w:val="003D10EC"/>
    <w:rsid w:val="003D157A"/>
    <w:rsid w:val="003D1AE6"/>
    <w:rsid w:val="003E07FE"/>
    <w:rsid w:val="003E1402"/>
    <w:rsid w:val="003E55D5"/>
    <w:rsid w:val="003F7D12"/>
    <w:rsid w:val="00410690"/>
    <w:rsid w:val="004155A0"/>
    <w:rsid w:val="00415C39"/>
    <w:rsid w:val="0041644E"/>
    <w:rsid w:val="00420CAC"/>
    <w:rsid w:val="00423952"/>
    <w:rsid w:val="00423E61"/>
    <w:rsid w:val="00424156"/>
    <w:rsid w:val="004304CD"/>
    <w:rsid w:val="0043134C"/>
    <w:rsid w:val="00431ED4"/>
    <w:rsid w:val="004346E6"/>
    <w:rsid w:val="00435DE2"/>
    <w:rsid w:val="00436984"/>
    <w:rsid w:val="004374F6"/>
    <w:rsid w:val="00441E37"/>
    <w:rsid w:val="00442824"/>
    <w:rsid w:val="004435CA"/>
    <w:rsid w:val="00445B51"/>
    <w:rsid w:val="004479D2"/>
    <w:rsid w:val="00453481"/>
    <w:rsid w:val="00460408"/>
    <w:rsid w:val="00460DE3"/>
    <w:rsid w:val="004624CE"/>
    <w:rsid w:val="00462D73"/>
    <w:rsid w:val="00463815"/>
    <w:rsid w:val="0046541C"/>
    <w:rsid w:val="00473513"/>
    <w:rsid w:val="00477D15"/>
    <w:rsid w:val="00484842"/>
    <w:rsid w:val="004866C2"/>
    <w:rsid w:val="004871B6"/>
    <w:rsid w:val="00492F5A"/>
    <w:rsid w:val="00497DEB"/>
    <w:rsid w:val="004A004D"/>
    <w:rsid w:val="004C3184"/>
    <w:rsid w:val="004C585A"/>
    <w:rsid w:val="004C643E"/>
    <w:rsid w:val="004C6BDC"/>
    <w:rsid w:val="004C6F72"/>
    <w:rsid w:val="004D2F36"/>
    <w:rsid w:val="004D36AE"/>
    <w:rsid w:val="004D42E8"/>
    <w:rsid w:val="004D4E87"/>
    <w:rsid w:val="004E16DA"/>
    <w:rsid w:val="004F0C0D"/>
    <w:rsid w:val="004F21E7"/>
    <w:rsid w:val="004F407C"/>
    <w:rsid w:val="00500436"/>
    <w:rsid w:val="005043CC"/>
    <w:rsid w:val="00522D20"/>
    <w:rsid w:val="00531DF5"/>
    <w:rsid w:val="00531ED7"/>
    <w:rsid w:val="005456D9"/>
    <w:rsid w:val="00545D51"/>
    <w:rsid w:val="00551818"/>
    <w:rsid w:val="0055259C"/>
    <w:rsid w:val="0055297C"/>
    <w:rsid w:val="00556046"/>
    <w:rsid w:val="00557BBE"/>
    <w:rsid w:val="00562438"/>
    <w:rsid w:val="00564DD9"/>
    <w:rsid w:val="00572254"/>
    <w:rsid w:val="00572771"/>
    <w:rsid w:val="005748A3"/>
    <w:rsid w:val="00577A2A"/>
    <w:rsid w:val="005868B3"/>
    <w:rsid w:val="00591EC8"/>
    <w:rsid w:val="0059288F"/>
    <w:rsid w:val="00595FEB"/>
    <w:rsid w:val="00597FF9"/>
    <w:rsid w:val="005A243C"/>
    <w:rsid w:val="005A272A"/>
    <w:rsid w:val="005A363D"/>
    <w:rsid w:val="005A3C54"/>
    <w:rsid w:val="005A59BB"/>
    <w:rsid w:val="005A6CA7"/>
    <w:rsid w:val="005B076A"/>
    <w:rsid w:val="005B1925"/>
    <w:rsid w:val="005B5DB0"/>
    <w:rsid w:val="005C29F7"/>
    <w:rsid w:val="005D06B6"/>
    <w:rsid w:val="005D3139"/>
    <w:rsid w:val="005D56C1"/>
    <w:rsid w:val="005D5D53"/>
    <w:rsid w:val="005D7AC2"/>
    <w:rsid w:val="005E08C0"/>
    <w:rsid w:val="005E1FFD"/>
    <w:rsid w:val="005E3AB6"/>
    <w:rsid w:val="005E77BA"/>
    <w:rsid w:val="005F0439"/>
    <w:rsid w:val="005F6188"/>
    <w:rsid w:val="0060140D"/>
    <w:rsid w:val="006041AD"/>
    <w:rsid w:val="00605EC6"/>
    <w:rsid w:val="00607308"/>
    <w:rsid w:val="006226F4"/>
    <w:rsid w:val="0062287E"/>
    <w:rsid w:val="006267DD"/>
    <w:rsid w:val="00626C58"/>
    <w:rsid w:val="00627CAE"/>
    <w:rsid w:val="0063241F"/>
    <w:rsid w:val="00645A8D"/>
    <w:rsid w:val="006512FB"/>
    <w:rsid w:val="00651F20"/>
    <w:rsid w:val="006678DE"/>
    <w:rsid w:val="0067282D"/>
    <w:rsid w:val="006759B8"/>
    <w:rsid w:val="006769C5"/>
    <w:rsid w:val="00677613"/>
    <w:rsid w:val="00684376"/>
    <w:rsid w:val="00686DCB"/>
    <w:rsid w:val="00687355"/>
    <w:rsid w:val="006936B1"/>
    <w:rsid w:val="006A4B43"/>
    <w:rsid w:val="006A60B8"/>
    <w:rsid w:val="006A61ED"/>
    <w:rsid w:val="006A7D81"/>
    <w:rsid w:val="006C2C66"/>
    <w:rsid w:val="006D4800"/>
    <w:rsid w:val="006D6C12"/>
    <w:rsid w:val="006E1FA9"/>
    <w:rsid w:val="006E5C1C"/>
    <w:rsid w:val="006E6EEE"/>
    <w:rsid w:val="006F79C7"/>
    <w:rsid w:val="00700B2A"/>
    <w:rsid w:val="00701EF9"/>
    <w:rsid w:val="00711D8D"/>
    <w:rsid w:val="00724DE8"/>
    <w:rsid w:val="00733C22"/>
    <w:rsid w:val="007379CC"/>
    <w:rsid w:val="00740D1D"/>
    <w:rsid w:val="00745C89"/>
    <w:rsid w:val="00746D20"/>
    <w:rsid w:val="00746E3E"/>
    <w:rsid w:val="00747769"/>
    <w:rsid w:val="00761C81"/>
    <w:rsid w:val="00762837"/>
    <w:rsid w:val="00763F81"/>
    <w:rsid w:val="007879DC"/>
    <w:rsid w:val="00792F3C"/>
    <w:rsid w:val="00794332"/>
    <w:rsid w:val="007958B0"/>
    <w:rsid w:val="007A4540"/>
    <w:rsid w:val="007B6728"/>
    <w:rsid w:val="007C3AE9"/>
    <w:rsid w:val="007C6C64"/>
    <w:rsid w:val="007D505C"/>
    <w:rsid w:val="007D718F"/>
    <w:rsid w:val="007E1F48"/>
    <w:rsid w:val="007E6631"/>
    <w:rsid w:val="007F59D5"/>
    <w:rsid w:val="00800BF8"/>
    <w:rsid w:val="008070E6"/>
    <w:rsid w:val="00815538"/>
    <w:rsid w:val="00816C49"/>
    <w:rsid w:val="00820596"/>
    <w:rsid w:val="00820ED2"/>
    <w:rsid w:val="0082282C"/>
    <w:rsid w:val="00824635"/>
    <w:rsid w:val="008333F8"/>
    <w:rsid w:val="0083499A"/>
    <w:rsid w:val="00835663"/>
    <w:rsid w:val="00837F09"/>
    <w:rsid w:val="00841205"/>
    <w:rsid w:val="00842FDC"/>
    <w:rsid w:val="00844049"/>
    <w:rsid w:val="008452F1"/>
    <w:rsid w:val="008503A6"/>
    <w:rsid w:val="00852427"/>
    <w:rsid w:val="00853D82"/>
    <w:rsid w:val="0085777F"/>
    <w:rsid w:val="008600C2"/>
    <w:rsid w:val="00861D4D"/>
    <w:rsid w:val="00866397"/>
    <w:rsid w:val="0087111E"/>
    <w:rsid w:val="0087517E"/>
    <w:rsid w:val="00877AB1"/>
    <w:rsid w:val="008805ED"/>
    <w:rsid w:val="0088479D"/>
    <w:rsid w:val="008851DB"/>
    <w:rsid w:val="00896F64"/>
    <w:rsid w:val="008A72B7"/>
    <w:rsid w:val="008B1F18"/>
    <w:rsid w:val="008C36C3"/>
    <w:rsid w:val="008C65AE"/>
    <w:rsid w:val="008D18C4"/>
    <w:rsid w:val="008D2DC9"/>
    <w:rsid w:val="008D38C9"/>
    <w:rsid w:val="008E3EB5"/>
    <w:rsid w:val="008E77F5"/>
    <w:rsid w:val="008F056A"/>
    <w:rsid w:val="008F1429"/>
    <w:rsid w:val="008F33B2"/>
    <w:rsid w:val="008F3C7E"/>
    <w:rsid w:val="00900972"/>
    <w:rsid w:val="00902640"/>
    <w:rsid w:val="00911002"/>
    <w:rsid w:val="00915F81"/>
    <w:rsid w:val="00930B33"/>
    <w:rsid w:val="0093725E"/>
    <w:rsid w:val="0093796A"/>
    <w:rsid w:val="00942CAA"/>
    <w:rsid w:val="00943931"/>
    <w:rsid w:val="00943E9C"/>
    <w:rsid w:val="00945F2A"/>
    <w:rsid w:val="009550C4"/>
    <w:rsid w:val="009566C7"/>
    <w:rsid w:val="00960947"/>
    <w:rsid w:val="0096133E"/>
    <w:rsid w:val="009627E9"/>
    <w:rsid w:val="00966E79"/>
    <w:rsid w:val="00973220"/>
    <w:rsid w:val="00974A26"/>
    <w:rsid w:val="00977B16"/>
    <w:rsid w:val="00990F32"/>
    <w:rsid w:val="00995EB3"/>
    <w:rsid w:val="009A00FF"/>
    <w:rsid w:val="009A47DC"/>
    <w:rsid w:val="009A71DC"/>
    <w:rsid w:val="009A7A73"/>
    <w:rsid w:val="009C0BE5"/>
    <w:rsid w:val="009C0D98"/>
    <w:rsid w:val="009C1E62"/>
    <w:rsid w:val="009C3496"/>
    <w:rsid w:val="009C4977"/>
    <w:rsid w:val="009C4D8F"/>
    <w:rsid w:val="009C76E4"/>
    <w:rsid w:val="009C78F0"/>
    <w:rsid w:val="009D16D4"/>
    <w:rsid w:val="009D2CB3"/>
    <w:rsid w:val="009E5CF2"/>
    <w:rsid w:val="009F21E2"/>
    <w:rsid w:val="009F6D81"/>
    <w:rsid w:val="00A0042E"/>
    <w:rsid w:val="00A0241F"/>
    <w:rsid w:val="00A10842"/>
    <w:rsid w:val="00A15416"/>
    <w:rsid w:val="00A207BF"/>
    <w:rsid w:val="00A24BAA"/>
    <w:rsid w:val="00A25448"/>
    <w:rsid w:val="00A45394"/>
    <w:rsid w:val="00A46573"/>
    <w:rsid w:val="00A471C7"/>
    <w:rsid w:val="00A51003"/>
    <w:rsid w:val="00A53D14"/>
    <w:rsid w:val="00A562E1"/>
    <w:rsid w:val="00A57A5D"/>
    <w:rsid w:val="00A723A3"/>
    <w:rsid w:val="00A72A49"/>
    <w:rsid w:val="00A77A2B"/>
    <w:rsid w:val="00A863A8"/>
    <w:rsid w:val="00AA0B06"/>
    <w:rsid w:val="00AA1EA7"/>
    <w:rsid w:val="00AA3E70"/>
    <w:rsid w:val="00AA4EF8"/>
    <w:rsid w:val="00AA53C2"/>
    <w:rsid w:val="00AA6A02"/>
    <w:rsid w:val="00AB0B40"/>
    <w:rsid w:val="00AB7F1D"/>
    <w:rsid w:val="00AC22AF"/>
    <w:rsid w:val="00AC2962"/>
    <w:rsid w:val="00AD323F"/>
    <w:rsid w:val="00AD5CBA"/>
    <w:rsid w:val="00AD63BF"/>
    <w:rsid w:val="00AE0B07"/>
    <w:rsid w:val="00AE6138"/>
    <w:rsid w:val="00AF1C32"/>
    <w:rsid w:val="00AF5DAC"/>
    <w:rsid w:val="00B021CE"/>
    <w:rsid w:val="00B0401D"/>
    <w:rsid w:val="00B0431D"/>
    <w:rsid w:val="00B06985"/>
    <w:rsid w:val="00B103F3"/>
    <w:rsid w:val="00B13110"/>
    <w:rsid w:val="00B15E9A"/>
    <w:rsid w:val="00B207F0"/>
    <w:rsid w:val="00B266B3"/>
    <w:rsid w:val="00B32FDF"/>
    <w:rsid w:val="00B4028F"/>
    <w:rsid w:val="00B40B2F"/>
    <w:rsid w:val="00B41595"/>
    <w:rsid w:val="00B43149"/>
    <w:rsid w:val="00B57BA6"/>
    <w:rsid w:val="00B6659C"/>
    <w:rsid w:val="00B66D4A"/>
    <w:rsid w:val="00B72454"/>
    <w:rsid w:val="00B72D2A"/>
    <w:rsid w:val="00B776CF"/>
    <w:rsid w:val="00B87826"/>
    <w:rsid w:val="00B94AF3"/>
    <w:rsid w:val="00B961F8"/>
    <w:rsid w:val="00BA3063"/>
    <w:rsid w:val="00BA4029"/>
    <w:rsid w:val="00BA407C"/>
    <w:rsid w:val="00BA7264"/>
    <w:rsid w:val="00BB42F2"/>
    <w:rsid w:val="00BB4502"/>
    <w:rsid w:val="00BB5555"/>
    <w:rsid w:val="00BB74D1"/>
    <w:rsid w:val="00BC1AA5"/>
    <w:rsid w:val="00BC243A"/>
    <w:rsid w:val="00BC7E1E"/>
    <w:rsid w:val="00BD285A"/>
    <w:rsid w:val="00BD6A59"/>
    <w:rsid w:val="00BD73A8"/>
    <w:rsid w:val="00BE008F"/>
    <w:rsid w:val="00BE1B45"/>
    <w:rsid w:val="00BE2193"/>
    <w:rsid w:val="00BE6588"/>
    <w:rsid w:val="00BE6B41"/>
    <w:rsid w:val="00C01F2D"/>
    <w:rsid w:val="00C05548"/>
    <w:rsid w:val="00C05975"/>
    <w:rsid w:val="00C13932"/>
    <w:rsid w:val="00C13CAD"/>
    <w:rsid w:val="00C1487E"/>
    <w:rsid w:val="00C14CE3"/>
    <w:rsid w:val="00C14DD9"/>
    <w:rsid w:val="00C1560A"/>
    <w:rsid w:val="00C207F5"/>
    <w:rsid w:val="00C20A2C"/>
    <w:rsid w:val="00C2351D"/>
    <w:rsid w:val="00C23FED"/>
    <w:rsid w:val="00C37289"/>
    <w:rsid w:val="00C4045C"/>
    <w:rsid w:val="00C43032"/>
    <w:rsid w:val="00C54AF6"/>
    <w:rsid w:val="00C56F68"/>
    <w:rsid w:val="00C6639D"/>
    <w:rsid w:val="00C67963"/>
    <w:rsid w:val="00C736FA"/>
    <w:rsid w:val="00C76DEB"/>
    <w:rsid w:val="00C804EF"/>
    <w:rsid w:val="00C90191"/>
    <w:rsid w:val="00C90E22"/>
    <w:rsid w:val="00C9595C"/>
    <w:rsid w:val="00C97760"/>
    <w:rsid w:val="00CA05AB"/>
    <w:rsid w:val="00CB2A5F"/>
    <w:rsid w:val="00CB6F19"/>
    <w:rsid w:val="00CC2243"/>
    <w:rsid w:val="00CC60EA"/>
    <w:rsid w:val="00CC6615"/>
    <w:rsid w:val="00CD3B8A"/>
    <w:rsid w:val="00CD464F"/>
    <w:rsid w:val="00CD76E9"/>
    <w:rsid w:val="00CD78C5"/>
    <w:rsid w:val="00CE0F42"/>
    <w:rsid w:val="00CE2EFB"/>
    <w:rsid w:val="00CE3AEA"/>
    <w:rsid w:val="00CE5AEC"/>
    <w:rsid w:val="00CF2D3D"/>
    <w:rsid w:val="00D03013"/>
    <w:rsid w:val="00D11F3C"/>
    <w:rsid w:val="00D13B4C"/>
    <w:rsid w:val="00D14104"/>
    <w:rsid w:val="00D322DC"/>
    <w:rsid w:val="00D343DF"/>
    <w:rsid w:val="00D361BB"/>
    <w:rsid w:val="00D3661C"/>
    <w:rsid w:val="00D37609"/>
    <w:rsid w:val="00D37F0D"/>
    <w:rsid w:val="00D40064"/>
    <w:rsid w:val="00D40358"/>
    <w:rsid w:val="00D439F2"/>
    <w:rsid w:val="00D443A6"/>
    <w:rsid w:val="00D4568E"/>
    <w:rsid w:val="00D55FC0"/>
    <w:rsid w:val="00D56761"/>
    <w:rsid w:val="00D572D0"/>
    <w:rsid w:val="00D57460"/>
    <w:rsid w:val="00D6398E"/>
    <w:rsid w:val="00D6545A"/>
    <w:rsid w:val="00D721AA"/>
    <w:rsid w:val="00D74C48"/>
    <w:rsid w:val="00D76533"/>
    <w:rsid w:val="00D936F9"/>
    <w:rsid w:val="00D957CB"/>
    <w:rsid w:val="00D960F4"/>
    <w:rsid w:val="00D979AC"/>
    <w:rsid w:val="00DA72EF"/>
    <w:rsid w:val="00DB05F0"/>
    <w:rsid w:val="00DC1EDF"/>
    <w:rsid w:val="00DC4139"/>
    <w:rsid w:val="00DC7AFE"/>
    <w:rsid w:val="00DD43CE"/>
    <w:rsid w:val="00DD5F2D"/>
    <w:rsid w:val="00DE44EA"/>
    <w:rsid w:val="00DF26BF"/>
    <w:rsid w:val="00DF4376"/>
    <w:rsid w:val="00DF4E3E"/>
    <w:rsid w:val="00E01FAE"/>
    <w:rsid w:val="00E02C74"/>
    <w:rsid w:val="00E030F8"/>
    <w:rsid w:val="00E0578C"/>
    <w:rsid w:val="00E122E7"/>
    <w:rsid w:val="00E27B04"/>
    <w:rsid w:val="00E32303"/>
    <w:rsid w:val="00E34F29"/>
    <w:rsid w:val="00E4718D"/>
    <w:rsid w:val="00E473E7"/>
    <w:rsid w:val="00E61267"/>
    <w:rsid w:val="00E7490D"/>
    <w:rsid w:val="00E77439"/>
    <w:rsid w:val="00E84A59"/>
    <w:rsid w:val="00E84E0A"/>
    <w:rsid w:val="00E867D0"/>
    <w:rsid w:val="00E933D1"/>
    <w:rsid w:val="00E9437C"/>
    <w:rsid w:val="00EB19B4"/>
    <w:rsid w:val="00EB79B3"/>
    <w:rsid w:val="00EC0F14"/>
    <w:rsid w:val="00EC1116"/>
    <w:rsid w:val="00EC523F"/>
    <w:rsid w:val="00ED0BA3"/>
    <w:rsid w:val="00ED1082"/>
    <w:rsid w:val="00ED65EB"/>
    <w:rsid w:val="00EE30C3"/>
    <w:rsid w:val="00EE6DF6"/>
    <w:rsid w:val="00EF0A64"/>
    <w:rsid w:val="00EF10A6"/>
    <w:rsid w:val="00EF7C94"/>
    <w:rsid w:val="00F02909"/>
    <w:rsid w:val="00F03828"/>
    <w:rsid w:val="00F06880"/>
    <w:rsid w:val="00F209EE"/>
    <w:rsid w:val="00F21C22"/>
    <w:rsid w:val="00F3201B"/>
    <w:rsid w:val="00F33563"/>
    <w:rsid w:val="00F3573C"/>
    <w:rsid w:val="00F40EAF"/>
    <w:rsid w:val="00F46F6B"/>
    <w:rsid w:val="00F57EB2"/>
    <w:rsid w:val="00F61154"/>
    <w:rsid w:val="00F64121"/>
    <w:rsid w:val="00F642ED"/>
    <w:rsid w:val="00F662AC"/>
    <w:rsid w:val="00F67A9F"/>
    <w:rsid w:val="00F726B3"/>
    <w:rsid w:val="00F9214E"/>
    <w:rsid w:val="00F95E17"/>
    <w:rsid w:val="00FA3C50"/>
    <w:rsid w:val="00FA40CE"/>
    <w:rsid w:val="00FA4F29"/>
    <w:rsid w:val="00FA5F96"/>
    <w:rsid w:val="00FB26B7"/>
    <w:rsid w:val="00FB38A3"/>
    <w:rsid w:val="00FB768C"/>
    <w:rsid w:val="00FC2178"/>
    <w:rsid w:val="00FC7E4A"/>
    <w:rsid w:val="00FD0ADB"/>
    <w:rsid w:val="00FD273E"/>
    <w:rsid w:val="00FD345C"/>
    <w:rsid w:val="00FD37C6"/>
    <w:rsid w:val="00FD64C2"/>
    <w:rsid w:val="00FE70BF"/>
    <w:rsid w:val="00FE7C8D"/>
    <w:rsid w:val="00FF041B"/>
    <w:rsid w:val="00FF6D66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0ED0"/>
  <w15:docId w15:val="{B2986CCD-CFEF-47DD-B91B-A9165F5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929B1"/>
    <w:pPr>
      <w:keepNext/>
      <w:jc w:val="both"/>
      <w:outlineLvl w:val="0"/>
    </w:pPr>
    <w:rPr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2929B1"/>
    <w:pPr>
      <w:keepNext/>
      <w:jc w:val="center"/>
      <w:outlineLvl w:val="1"/>
    </w:pPr>
    <w:rPr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2929B1"/>
    <w:pPr>
      <w:keepNext/>
      <w:outlineLvl w:val="2"/>
    </w:pPr>
    <w:rPr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B7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3B76D8"/>
  </w:style>
  <w:style w:type="paragraph" w:styleId="Podnoje">
    <w:name w:val="footer"/>
    <w:basedOn w:val="Normal"/>
    <w:link w:val="PodnojeChar"/>
    <w:uiPriority w:val="99"/>
    <w:unhideWhenUsed/>
    <w:rsid w:val="003B76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3B76D8"/>
  </w:style>
  <w:style w:type="character" w:customStyle="1" w:styleId="Style12pt">
    <w:name w:val="Style 12 pt"/>
    <w:rsid w:val="003B76D8"/>
    <w:rPr>
      <w:rFonts w:ascii="Times New Roman" w:hAnsi="Times New Roman" w:cs="Times New Roman" w:hint="default"/>
      <w:sz w:val="24"/>
      <w:szCs w:val="24"/>
      <w:vertAlign w:val="baseline"/>
    </w:rPr>
  </w:style>
  <w:style w:type="paragraph" w:styleId="Odlomakpopisa">
    <w:name w:val="List Paragraph"/>
    <w:basedOn w:val="Normal"/>
    <w:uiPriority w:val="34"/>
    <w:qFormat/>
    <w:rsid w:val="008452F1"/>
    <w:pPr>
      <w:ind w:left="720"/>
      <w:contextualSpacing/>
    </w:pPr>
  </w:style>
  <w:style w:type="character" w:customStyle="1" w:styleId="bold">
    <w:name w:val="bold"/>
    <w:basedOn w:val="Zadanifontodlomka"/>
    <w:rsid w:val="006F79C7"/>
  </w:style>
  <w:style w:type="paragraph" w:styleId="Tekstbalonia">
    <w:name w:val="Balloon Text"/>
    <w:basedOn w:val="Normal"/>
    <w:link w:val="TekstbaloniaChar"/>
    <w:uiPriority w:val="99"/>
    <w:semiHidden/>
    <w:unhideWhenUsed/>
    <w:rsid w:val="00EC11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1116"/>
    <w:rPr>
      <w:rFonts w:ascii="Tahoma" w:eastAsia="Times New Roman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223C42"/>
    <w:rPr>
      <w:rFonts w:ascii="Arial" w:hAnsi="Arial" w:cs="Arial"/>
    </w:rPr>
  </w:style>
  <w:style w:type="character" w:customStyle="1" w:styleId="Tijeloteksta2Char">
    <w:name w:val="Tijelo teksta 2 Char"/>
    <w:basedOn w:val="Zadanifontodlomka"/>
    <w:link w:val="Tijeloteksta2"/>
    <w:rsid w:val="00223C42"/>
    <w:rPr>
      <w:rFonts w:ascii="Arial" w:eastAsia="Times New Roman" w:hAnsi="Arial" w:cs="Arial"/>
      <w:sz w:val="20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96F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96F6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96F6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6F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6F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3566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F01A2"/>
    <w:rPr>
      <w:b/>
      <w:bCs/>
    </w:rPr>
  </w:style>
  <w:style w:type="paragraph" w:styleId="StandardWeb">
    <w:name w:val="Normal (Web)"/>
    <w:basedOn w:val="Normal"/>
    <w:uiPriority w:val="99"/>
    <w:unhideWhenUsed/>
    <w:rsid w:val="00C90E22"/>
    <w:pPr>
      <w:spacing w:before="100" w:beforeAutospacing="1" w:after="100" w:afterAutospacing="1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0554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0554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05548"/>
    <w:rPr>
      <w:vertAlign w:val="superscript"/>
    </w:rPr>
  </w:style>
  <w:style w:type="character" w:customStyle="1" w:styleId="Naslov1Char">
    <w:name w:val="Naslov 1 Char"/>
    <w:basedOn w:val="Zadanifontodlomka"/>
    <w:link w:val="Naslov1"/>
    <w:rsid w:val="002929B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rsid w:val="002929B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rsid w:val="002929B1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2929B1"/>
    <w:rPr>
      <w:rFonts w:ascii="Arial" w:hAnsi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2929B1"/>
    <w:rPr>
      <w:rFonts w:ascii="Arial" w:eastAsia="Times New Roman" w:hAnsi="Arial" w:cs="Times New Roman"/>
      <w:szCs w:val="24"/>
      <w:lang w:eastAsia="hr-HR"/>
    </w:rPr>
  </w:style>
  <w:style w:type="character" w:styleId="SlijeenaHiperveza">
    <w:name w:val="FollowedHyperlink"/>
    <w:uiPriority w:val="99"/>
    <w:semiHidden/>
    <w:unhideWhenUsed/>
    <w:rsid w:val="002929B1"/>
    <w:rPr>
      <w:color w:val="800080"/>
      <w:u w:val="single"/>
    </w:rPr>
  </w:style>
  <w:style w:type="table" w:styleId="Reetkatablice">
    <w:name w:val="Table Grid"/>
    <w:basedOn w:val="Obinatablica"/>
    <w:uiPriority w:val="59"/>
    <w:rsid w:val="00292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2929B1"/>
  </w:style>
  <w:style w:type="paragraph" w:styleId="Bezproreda">
    <w:name w:val="No Spacing"/>
    <w:uiPriority w:val="1"/>
    <w:qFormat/>
    <w:rsid w:val="002929B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5">
    <w:name w:val="xl65"/>
    <w:basedOn w:val="Normal"/>
    <w:rsid w:val="002929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Normal"/>
    <w:rsid w:val="002929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7">
    <w:name w:val="xl67"/>
    <w:basedOn w:val="Normal"/>
    <w:rsid w:val="002929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2929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0">
    <w:name w:val="xl70"/>
    <w:basedOn w:val="Normal"/>
    <w:rsid w:val="002929B1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2929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2929B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2929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2929B1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"/>
    <w:rsid w:val="002929B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2929B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8">
    <w:name w:val="xl78"/>
    <w:basedOn w:val="Normal"/>
    <w:rsid w:val="002929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rsid w:val="002929B1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2929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2929B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2">
    <w:name w:val="xl82"/>
    <w:basedOn w:val="Normal"/>
    <w:rsid w:val="002929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2929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2929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87">
    <w:name w:val="xl87"/>
    <w:basedOn w:val="Normal"/>
    <w:rsid w:val="002929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8">
    <w:name w:val="xl88"/>
    <w:basedOn w:val="Normal"/>
    <w:rsid w:val="002929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9">
    <w:name w:val="xl89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0">
    <w:name w:val="xl90"/>
    <w:basedOn w:val="Normal"/>
    <w:rsid w:val="002929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1">
    <w:name w:val="xl91"/>
    <w:basedOn w:val="Normal"/>
    <w:rsid w:val="002929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2">
    <w:name w:val="xl92"/>
    <w:basedOn w:val="Normal"/>
    <w:rsid w:val="002929B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2929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4">
    <w:name w:val="xl94"/>
    <w:basedOn w:val="Normal"/>
    <w:rsid w:val="002929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2929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Normal"/>
    <w:rsid w:val="002929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Normal"/>
    <w:rsid w:val="002929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0">
    <w:name w:val="xl100"/>
    <w:basedOn w:val="Normal"/>
    <w:rsid w:val="002929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table" w:customStyle="1" w:styleId="TableGrid">
    <w:name w:val="TableGrid"/>
    <w:rsid w:val="002929B1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1">
    <w:name w:val="Bez popisa1"/>
    <w:next w:val="Bezpopisa"/>
    <w:uiPriority w:val="99"/>
    <w:semiHidden/>
    <w:rsid w:val="002929B1"/>
  </w:style>
  <w:style w:type="table" w:customStyle="1" w:styleId="Reetkatablice1">
    <w:name w:val="Rešetka tablice1"/>
    <w:basedOn w:val="Obinatablica"/>
    <w:next w:val="Reetkatablice"/>
    <w:uiPriority w:val="59"/>
    <w:rsid w:val="002929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F6972-89F3-4088-92B8-4FCFCC08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Branko Matuza</cp:lastModifiedBy>
  <cp:revision>10</cp:revision>
  <cp:lastPrinted>2023-09-18T07:07:00Z</cp:lastPrinted>
  <dcterms:created xsi:type="dcterms:W3CDTF">2023-09-17T14:18:00Z</dcterms:created>
  <dcterms:modified xsi:type="dcterms:W3CDTF">2023-09-18T07:43:00Z</dcterms:modified>
</cp:coreProperties>
</file>