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7" w:rsidRPr="00A47055" w:rsidRDefault="00EA77A7" w:rsidP="000C50E1">
      <w:pPr>
        <w:jc w:val="right"/>
        <w:rPr>
          <w:color w:val="000000"/>
          <w:sz w:val="22"/>
          <w:szCs w:val="22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648"/>
        <w:gridCol w:w="1869"/>
        <w:gridCol w:w="4827"/>
        <w:gridCol w:w="2024"/>
        <w:gridCol w:w="2024"/>
      </w:tblGrid>
      <w:tr w:rsidR="000C50E1" w:rsidRPr="003B402A" w:rsidTr="00931FB7">
        <w:trPr>
          <w:trHeight w:val="318"/>
        </w:trPr>
        <w:tc>
          <w:tcPr>
            <w:tcW w:w="144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50E1" w:rsidRPr="003B402A" w:rsidRDefault="000C50E1" w:rsidP="00AB6A4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>MJER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  <w:r w:rsidR="00143C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7.,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C037A4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A56B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i</w:t>
            </w:r>
            <w:r w:rsidR="00910A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1</w:t>
            </w:r>
            <w:r w:rsidR="00C037A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910A73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C50E1" w:rsidRPr="003B402A" w:rsidTr="00931FB7">
        <w:trPr>
          <w:trHeight w:val="318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45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39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31FB7" w:rsidRPr="003B402A" w:rsidTr="00931FB7">
        <w:trPr>
          <w:trHeight w:val="66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65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AB0AA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21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517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C778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0B1809" w:rsidRDefault="000B1809" w:rsidP="000C50E1">
      <w:pPr>
        <w:jc w:val="both"/>
        <w:rPr>
          <w:rFonts w:eastAsia="Calibri"/>
          <w:sz w:val="22"/>
          <w:szCs w:val="22"/>
          <w:lang w:eastAsia="en-US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  <w:r w:rsidRPr="000B1809">
        <w:rPr>
          <w:b/>
          <w:sz w:val="22"/>
          <w:szCs w:val="22"/>
        </w:rPr>
        <w:lastRenderedPageBreak/>
        <w:t>Ako pod</w:t>
      </w:r>
      <w:bookmarkStart w:id="0" w:name="_GoBack"/>
      <w:bookmarkEnd w:id="0"/>
      <w:r w:rsidRPr="000B1809">
        <w:rPr>
          <w:b/>
          <w:sz w:val="22"/>
          <w:szCs w:val="22"/>
        </w:rPr>
        <w:t>nositelj zahtjeva ima povezana poduzeća kako je opisano pojmom „jedan poduzetnik“</w:t>
      </w:r>
      <w:r w:rsidRPr="000B1809">
        <w:rPr>
          <w:b/>
          <w:sz w:val="22"/>
          <w:szCs w:val="22"/>
          <w:vertAlign w:val="superscript"/>
        </w:rPr>
        <w:t>1</w:t>
      </w:r>
      <w:r w:rsidRPr="000B1809">
        <w:rPr>
          <w:b/>
          <w:sz w:val="22"/>
          <w:szCs w:val="22"/>
        </w:rPr>
        <w:t>, potrebno je upisati podatke o primljenim potporama male vrijednosti i za svako povezano poduzeće.</w:t>
      </w:r>
      <w:r w:rsidRPr="000B1809">
        <w:rPr>
          <w:rFonts w:eastAsiaTheme="minorHAnsi"/>
          <w:b/>
          <w:sz w:val="22"/>
          <w:szCs w:val="22"/>
        </w:rPr>
        <w:t xml:space="preserve"> </w:t>
      </w: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2675"/>
        <w:gridCol w:w="2280"/>
        <w:gridCol w:w="2476"/>
        <w:gridCol w:w="2533"/>
        <w:gridCol w:w="1502"/>
        <w:gridCol w:w="1223"/>
        <w:gridCol w:w="1241"/>
      </w:tblGrid>
      <w:tr w:rsidR="000B1809" w:rsidRPr="004922BC" w:rsidTr="00256349">
        <w:trPr>
          <w:cantSplit/>
          <w:trHeight w:val="39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PREGLED KORIŠTENIH POTPORA MALE VRIJEDNOSTI ZA POVEZANA PODUZEĆA</w:t>
            </w:r>
          </w:p>
        </w:tc>
      </w:tr>
      <w:tr w:rsidR="000B1809" w:rsidRPr="004922BC" w:rsidTr="00256349">
        <w:trPr>
          <w:trHeight w:val="1182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256349">
              <w:rPr>
                <w:b/>
                <w:sz w:val="20"/>
                <w:szCs w:val="20"/>
              </w:rPr>
              <w:t>Godina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 gospodarskog subjekta povezane osobe s prijaviteljem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OIB gospodarskog subjekta povezane osobe s prijaviteljem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Iznosi potpora (kn)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Datumi dodjele potpora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Dodijeljene potpore smo opravdali i namjenski iskoristili (DA/NE)</w:t>
            </w: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2020.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2021.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45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2022.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1809" w:rsidRPr="004922BC" w:rsidRDefault="000B1809" w:rsidP="00D074CB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</w:tbl>
    <w:p w:rsidR="00977D4E" w:rsidRDefault="00977D4E" w:rsidP="000B1809">
      <w:pPr>
        <w:jc w:val="both"/>
        <w:rPr>
          <w:rFonts w:eastAsia="Calibri"/>
          <w:sz w:val="20"/>
          <w:szCs w:val="20"/>
          <w:lang w:eastAsia="en-US"/>
        </w:rPr>
      </w:pP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Temeljem Uredbe Komisije (EU) br. 1407/2013 od 18. prosinca 2013. o primjeni članaka 107. i 108. Ugovora o funkcioniranju Europske unije na de </w:t>
      </w:r>
      <w:proofErr w:type="spellStart"/>
      <w:r w:rsidRPr="00977D4E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977D4E">
        <w:rPr>
          <w:rFonts w:eastAsia="Calibri"/>
          <w:sz w:val="20"/>
          <w:szCs w:val="20"/>
          <w:lang w:eastAsia="en-US"/>
        </w:rPr>
        <w:t xml:space="preserve"> potpore maksimalan iznos svih potpora male vrijednosti koje jednom poduzetniku mogu biti dodijeljene tijekom razdoblja od tri fiskalne godine ne smije biti veći od 200.000 EUR, uključujući i potporu dobivenu u okviru ovog Javnog poziva.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Pojmom „jedan poduzetnik”</w:t>
      </w:r>
      <w:r w:rsidRPr="00977D4E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977D4E">
        <w:rPr>
          <w:rFonts w:eastAsia="Calibri"/>
          <w:sz w:val="20"/>
          <w:szCs w:val="20"/>
          <w:lang w:eastAsia="en-US"/>
        </w:rPr>
        <w:t>, sukladno Uredbi, obuhvaćena su sva poduzeća koja su u najmanje jednom od sljedećih međusobnih odnosa: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a) jedno poduzeće ima većinu glasačkih prava dioničara ili članova u drugom poduzeću;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b) jedno poduzeće ima pravo imenovati ili smijeniti većinu članova upravnog, upravljačkog ili nadzornog tijela drugog poduzeća;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c) jedno poduzeće ima pravo ostvarivati vladajući utjecaj na drugo poduzeće prema ugovoru sklopljenom s tim poduzećem ili prema odredbi 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    statuta ili društvenog ugovora tog poduzeća;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    poduzeća, većinu glasačkih prava dioničara ili glasačkih prava članova u tom poduzeću.</w:t>
      </w:r>
    </w:p>
    <w:p w:rsidR="000B1809" w:rsidRDefault="000B1809" w:rsidP="000B1809">
      <w:pPr>
        <w:jc w:val="both"/>
        <w:rPr>
          <w:rFonts w:eastAsia="Calibri"/>
          <w:sz w:val="22"/>
          <w:szCs w:val="22"/>
          <w:lang w:eastAsia="en-US"/>
        </w:rPr>
      </w:pPr>
    </w:p>
    <w:p w:rsidR="00090D2F" w:rsidRPr="000B1809" w:rsidRDefault="00090D2F" w:rsidP="000B1809">
      <w:pPr>
        <w:jc w:val="both"/>
        <w:rPr>
          <w:rFonts w:eastAsia="Calibri"/>
          <w:sz w:val="22"/>
          <w:szCs w:val="22"/>
          <w:lang w:eastAsia="en-US"/>
        </w:rPr>
      </w:pPr>
      <w:r w:rsidRPr="00C037A4">
        <w:rPr>
          <w:sz w:val="22"/>
          <w:szCs w:val="22"/>
        </w:rPr>
        <w:t xml:space="preserve">Potvrđujemo da za prihvatljive troškove koje planiramo u okviru zahtjeva prijavljenog na  Javni poziv </w:t>
      </w:r>
      <w:r w:rsidR="00C037A4" w:rsidRPr="00C037A4">
        <w:rPr>
          <w:bCs/>
        </w:rPr>
        <w:t>za dodjelu potpora male vrijednosti u poljoprivredi Međimurske županije u 202</w:t>
      </w:r>
      <w:r w:rsidR="00AB0AAF">
        <w:rPr>
          <w:bCs/>
        </w:rPr>
        <w:t>2</w:t>
      </w:r>
      <w:r w:rsidR="00C037A4" w:rsidRPr="00C037A4">
        <w:rPr>
          <w:bCs/>
        </w:rPr>
        <w:t xml:space="preserve">. </w:t>
      </w:r>
      <w:r w:rsidR="00C037A4">
        <w:rPr>
          <w:bCs/>
        </w:rPr>
        <w:t xml:space="preserve">godini </w:t>
      </w:r>
      <w:r w:rsidRPr="00C037A4">
        <w:rPr>
          <w:sz w:val="22"/>
          <w:szCs w:val="22"/>
        </w:rPr>
        <w:t>nismo zatražili niti primili druge potpore.</w:t>
      </w:r>
    </w:p>
    <w:p w:rsidR="000C50E1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977D4E" w:rsidRPr="003B402A" w:rsidRDefault="00977D4E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</w:t>
      </w:r>
      <w:r w:rsidR="007D21E5">
        <w:rPr>
          <w:rFonts w:eastAsia="Calibri"/>
          <w:sz w:val="22"/>
          <w:szCs w:val="22"/>
          <w:lang w:eastAsia="en-US"/>
        </w:rPr>
        <w:t xml:space="preserve"> 20</w:t>
      </w:r>
      <w:r w:rsidR="004C7786">
        <w:rPr>
          <w:rFonts w:eastAsia="Calibri"/>
          <w:sz w:val="22"/>
          <w:szCs w:val="22"/>
          <w:lang w:eastAsia="en-US"/>
        </w:rPr>
        <w:t>2</w:t>
      </w:r>
      <w:r w:rsidR="00AB0AAF">
        <w:rPr>
          <w:rFonts w:eastAsia="Calibri"/>
          <w:sz w:val="22"/>
          <w:szCs w:val="22"/>
          <w:lang w:eastAsia="en-US"/>
        </w:rPr>
        <w:t>2</w:t>
      </w:r>
      <w:r w:rsidR="004C7786">
        <w:rPr>
          <w:rFonts w:eastAsia="Calibri"/>
          <w:sz w:val="22"/>
          <w:szCs w:val="22"/>
          <w:lang w:eastAsia="en-US"/>
        </w:rPr>
        <w:t>.</w:t>
      </w:r>
      <w:r w:rsidRPr="003B402A">
        <w:rPr>
          <w:rFonts w:eastAsia="Calibri"/>
          <w:sz w:val="22"/>
          <w:szCs w:val="22"/>
          <w:lang w:eastAsia="en-US"/>
        </w:rPr>
        <w:t xml:space="preserve"> godine                                </w:t>
      </w:r>
      <w:r w:rsidR="00232D14">
        <w:rPr>
          <w:rFonts w:eastAsia="Calibri"/>
          <w:sz w:val="22"/>
          <w:szCs w:val="22"/>
          <w:lang w:eastAsia="en-US"/>
        </w:rPr>
        <w:t xml:space="preserve">    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="00977D4E">
        <w:rPr>
          <w:rFonts w:eastAsia="Calibri"/>
          <w:sz w:val="22"/>
          <w:szCs w:val="22"/>
          <w:lang w:eastAsia="en-US"/>
        </w:rPr>
        <w:t xml:space="preserve">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____________________________</w:t>
      </w:r>
    </w:p>
    <w:p w:rsidR="00EA77A7" w:rsidRPr="003B402A" w:rsidRDefault="000C50E1" w:rsidP="00256349">
      <w:pPr>
        <w:jc w:val="both"/>
        <w:rPr>
          <w:color w:val="000000"/>
          <w:sz w:val="22"/>
          <w:szCs w:val="22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32D14">
        <w:rPr>
          <w:rFonts w:eastAsia="Calibri"/>
          <w:sz w:val="22"/>
          <w:szCs w:val="22"/>
          <w:lang w:eastAsia="en-US"/>
        </w:rPr>
        <w:t xml:space="preserve"> (potpis)</w:t>
      </w:r>
    </w:p>
    <w:sectPr w:rsidR="00EA77A7" w:rsidRPr="003B402A" w:rsidSect="00977D4E">
      <w:headerReference w:type="default" r:id="rId11"/>
      <w:footerReference w:type="default" r:id="rId12"/>
      <w:footerReference w:type="first" r:id="rId13"/>
      <w:pgSz w:w="16838" w:h="11906" w:orient="landscape" w:code="9"/>
      <w:pgMar w:top="567" w:right="1134" w:bottom="142" w:left="1134" w:header="567" w:footer="510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53" w:rsidRDefault="00EB5353" w:rsidP="000C50E1">
      <w:r>
        <w:separator/>
      </w:r>
    </w:p>
  </w:endnote>
  <w:endnote w:type="continuationSeparator" w:id="0">
    <w:p w:rsidR="00EB5353" w:rsidRDefault="00EB5353" w:rsidP="000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803217"/>
      <w:docPartObj>
        <w:docPartGallery w:val="Page Numbers (Bottom of Page)"/>
        <w:docPartUnique/>
      </w:docPartObj>
    </w:sdtPr>
    <w:sdtContent>
      <w:p w:rsidR="00232D14" w:rsidRDefault="00236C57">
        <w:pPr>
          <w:pStyle w:val="Podnoje"/>
          <w:jc w:val="center"/>
        </w:pPr>
        <w:fldSimple w:instr=" PAGE   \* MERGEFORMAT ">
          <w:r w:rsidR="00977D4E">
            <w:rPr>
              <w:noProof/>
            </w:rPr>
            <w:t>1</w:t>
          </w:r>
        </w:fldSimple>
      </w:p>
    </w:sdtContent>
  </w:sdt>
  <w:p w:rsidR="000C50E1" w:rsidRDefault="000C50E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236C57">
    <w:pPr>
      <w:pStyle w:val="Podnoje"/>
    </w:pPr>
    <w:r>
      <w:rPr>
        <w:noProof/>
      </w:rPr>
      <w:pict>
        <v:rect id="_x0000_s2050" style="position:absolute;margin-left:791.25pt;margin-top:559.4pt;width:44.55pt;height:15.1pt;rotation:180;flip:x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<v:textbox inset=",0,,0">
            <w:txbxContent>
              <w:p w:rsidR="000C50E1" w:rsidRPr="000C50E1" w:rsidRDefault="00236C57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232D14"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53" w:rsidRDefault="00EB5353" w:rsidP="000C50E1">
      <w:r>
        <w:separator/>
      </w:r>
    </w:p>
  </w:footnote>
  <w:footnote w:type="continuationSeparator" w:id="0">
    <w:p w:rsidR="00EB5353" w:rsidRDefault="00EB5353" w:rsidP="000C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3D"/>
    <w:rsid w:val="00014E1E"/>
    <w:rsid w:val="00090D2F"/>
    <w:rsid w:val="000B1809"/>
    <w:rsid w:val="000B67BA"/>
    <w:rsid w:val="000C50E1"/>
    <w:rsid w:val="000D794D"/>
    <w:rsid w:val="00143C6B"/>
    <w:rsid w:val="001A45C3"/>
    <w:rsid w:val="001E109C"/>
    <w:rsid w:val="00222877"/>
    <w:rsid w:val="002310CE"/>
    <w:rsid w:val="00232D14"/>
    <w:rsid w:val="00236C57"/>
    <w:rsid w:val="00256349"/>
    <w:rsid w:val="003B402A"/>
    <w:rsid w:val="003B770A"/>
    <w:rsid w:val="003C04FA"/>
    <w:rsid w:val="004901DB"/>
    <w:rsid w:val="004C7786"/>
    <w:rsid w:val="00543300"/>
    <w:rsid w:val="00560B73"/>
    <w:rsid w:val="0057608F"/>
    <w:rsid w:val="0058666B"/>
    <w:rsid w:val="005904B3"/>
    <w:rsid w:val="005A343E"/>
    <w:rsid w:val="006A03BA"/>
    <w:rsid w:val="006A1137"/>
    <w:rsid w:val="00764AF8"/>
    <w:rsid w:val="00792B02"/>
    <w:rsid w:val="007D21E5"/>
    <w:rsid w:val="008E24E8"/>
    <w:rsid w:val="009028CC"/>
    <w:rsid w:val="00910A73"/>
    <w:rsid w:val="00931FB7"/>
    <w:rsid w:val="00977D4E"/>
    <w:rsid w:val="009D2637"/>
    <w:rsid w:val="009E1A6F"/>
    <w:rsid w:val="00A0193D"/>
    <w:rsid w:val="00A0652A"/>
    <w:rsid w:val="00A47055"/>
    <w:rsid w:val="00A56BEC"/>
    <w:rsid w:val="00AB0AAF"/>
    <w:rsid w:val="00AB2B20"/>
    <w:rsid w:val="00AB6A4F"/>
    <w:rsid w:val="00B04106"/>
    <w:rsid w:val="00B45FB5"/>
    <w:rsid w:val="00B7350C"/>
    <w:rsid w:val="00B87CE9"/>
    <w:rsid w:val="00BF4F1A"/>
    <w:rsid w:val="00C037A4"/>
    <w:rsid w:val="00C20A70"/>
    <w:rsid w:val="00C31AE9"/>
    <w:rsid w:val="00CF68F4"/>
    <w:rsid w:val="00E629E8"/>
    <w:rsid w:val="00EA77A7"/>
    <w:rsid w:val="00EB5353"/>
    <w:rsid w:val="00F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7A4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  <w:style w:type="paragraph" w:styleId="Tekstfusnote">
    <w:name w:val="footnote text"/>
    <w:basedOn w:val="Normal"/>
    <w:link w:val="TekstfusnoteChar"/>
    <w:uiPriority w:val="99"/>
    <w:unhideWhenUsed/>
    <w:rsid w:val="000B1809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B1809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0B18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EE584-4047-4AAF-AFE6-1EA22BAF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Predlozak</vt:lpstr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danicap</cp:lastModifiedBy>
  <cp:revision>5</cp:revision>
  <cp:lastPrinted>2017-02-15T07:50:00Z</cp:lastPrinted>
  <dcterms:created xsi:type="dcterms:W3CDTF">2022-02-17T11:17:00Z</dcterms:created>
  <dcterms:modified xsi:type="dcterms:W3CDTF">2022-03-07T08:04:00Z</dcterms:modified>
</cp:coreProperties>
</file>