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0"/>
        <w:gridCol w:w="4320"/>
      </w:tblGrid>
      <w:tr w:rsidR="001B4916" w:rsidRPr="00021AA7" w:rsidTr="003B0D03">
        <w:trPr>
          <w:trHeight w:val="566"/>
        </w:trPr>
        <w:tc>
          <w:tcPr>
            <w:tcW w:w="86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4916" w:rsidRPr="00021AA7" w:rsidRDefault="001B4916" w:rsidP="003B0D03">
            <w:pPr>
              <w:jc w:val="center"/>
              <w:rPr>
                <w:rFonts w:asciiTheme="minorHAnsi" w:hAnsiTheme="minorHAnsi" w:cstheme="minorHAnsi"/>
                <w:b/>
              </w:rPr>
            </w:pPr>
            <w:r w:rsidRPr="00021AA7">
              <w:rPr>
                <w:rFonts w:asciiTheme="minorHAnsi" w:hAnsiTheme="minorHAnsi" w:cstheme="minorHAnsi"/>
                <w:b/>
              </w:rPr>
              <w:t>DOKUMENT ZA INTERNETSKO SAVJETOVANJE O NACRTU OPĆEG AKTA</w:t>
            </w:r>
          </w:p>
        </w:tc>
      </w:tr>
      <w:tr w:rsidR="001B4916" w:rsidRPr="00021AA7" w:rsidTr="003B0D03">
        <w:trPr>
          <w:trHeight w:val="1113"/>
        </w:trPr>
        <w:tc>
          <w:tcPr>
            <w:tcW w:w="8670" w:type="dxa"/>
            <w:gridSpan w:val="2"/>
            <w:tcBorders>
              <w:top w:val="single" w:sz="4" w:space="0" w:color="auto"/>
              <w:left w:val="single" w:sz="4" w:space="0" w:color="auto"/>
              <w:bottom w:val="single" w:sz="4" w:space="0" w:color="auto"/>
              <w:right w:val="single" w:sz="4" w:space="0" w:color="auto"/>
            </w:tcBorders>
            <w:vAlign w:val="center"/>
            <w:hideMark/>
          </w:tcPr>
          <w:p w:rsidR="001B4916" w:rsidRPr="00021AA7" w:rsidRDefault="00D936C7" w:rsidP="003B0D03">
            <w:pPr>
              <w:spacing w:after="0"/>
              <w:jc w:val="center"/>
              <w:rPr>
                <w:rFonts w:asciiTheme="minorHAnsi" w:hAnsiTheme="minorHAnsi" w:cstheme="minorHAnsi"/>
                <w:b/>
              </w:rPr>
            </w:pPr>
            <w:r w:rsidRPr="00021AA7">
              <w:rPr>
                <w:rFonts w:asciiTheme="minorHAnsi" w:hAnsiTheme="minorHAnsi" w:cstheme="minorHAnsi"/>
                <w:b/>
              </w:rPr>
              <w:t xml:space="preserve">PRIJEDLOG </w:t>
            </w:r>
            <w:r w:rsidR="00021AA7" w:rsidRPr="00021AA7">
              <w:rPr>
                <w:rFonts w:asciiTheme="minorHAnsi" w:hAnsiTheme="minorHAnsi" w:cstheme="minorHAnsi"/>
                <w:b/>
              </w:rPr>
              <w:t>I. IZMJENA I DOPUNA PRORAČUNA MEĐIMURSKE ŽUPANIJE</w:t>
            </w:r>
            <w:r w:rsidR="00021AA7">
              <w:rPr>
                <w:rFonts w:asciiTheme="minorHAnsi" w:hAnsiTheme="minorHAnsi" w:cstheme="minorHAnsi"/>
                <w:b/>
              </w:rPr>
              <w:t xml:space="preserve"> ZA 2022. GODINU</w:t>
            </w:r>
          </w:p>
          <w:p w:rsidR="001B4916" w:rsidRPr="00021AA7" w:rsidRDefault="001B4916" w:rsidP="003B0D03">
            <w:pPr>
              <w:spacing w:after="0"/>
              <w:jc w:val="center"/>
              <w:rPr>
                <w:rFonts w:asciiTheme="minorHAnsi" w:hAnsiTheme="minorHAnsi" w:cstheme="minorHAnsi"/>
                <w:b/>
              </w:rPr>
            </w:pPr>
          </w:p>
        </w:tc>
      </w:tr>
      <w:tr w:rsidR="001B4916" w:rsidRPr="00021AA7" w:rsidTr="003B0D03">
        <w:trPr>
          <w:trHeight w:val="562"/>
        </w:trPr>
        <w:tc>
          <w:tcPr>
            <w:tcW w:w="8670" w:type="dxa"/>
            <w:gridSpan w:val="2"/>
            <w:tcBorders>
              <w:top w:val="single" w:sz="4" w:space="0" w:color="auto"/>
              <w:left w:val="single" w:sz="4" w:space="0" w:color="auto"/>
              <w:bottom w:val="single" w:sz="4" w:space="0" w:color="auto"/>
              <w:right w:val="single" w:sz="4" w:space="0" w:color="auto"/>
            </w:tcBorders>
            <w:vAlign w:val="center"/>
          </w:tcPr>
          <w:p w:rsidR="001B4916" w:rsidRPr="00021AA7" w:rsidRDefault="001B4916" w:rsidP="003B0D03">
            <w:pPr>
              <w:spacing w:after="0"/>
              <w:jc w:val="center"/>
              <w:rPr>
                <w:rFonts w:asciiTheme="minorHAnsi" w:hAnsiTheme="minorHAnsi" w:cstheme="minorHAnsi"/>
                <w:b/>
              </w:rPr>
            </w:pPr>
          </w:p>
          <w:p w:rsidR="001B4916" w:rsidRPr="00021AA7" w:rsidRDefault="001B4916" w:rsidP="003B0D03">
            <w:pPr>
              <w:spacing w:after="0"/>
              <w:jc w:val="center"/>
              <w:rPr>
                <w:rFonts w:asciiTheme="minorHAnsi" w:hAnsiTheme="minorHAnsi" w:cstheme="minorHAnsi"/>
                <w:b/>
              </w:rPr>
            </w:pPr>
            <w:r w:rsidRPr="00021AA7">
              <w:rPr>
                <w:rFonts w:asciiTheme="minorHAnsi" w:hAnsiTheme="minorHAnsi" w:cstheme="minorHAnsi"/>
                <w:b/>
              </w:rPr>
              <w:t>MEĐIMURSKA ŽUPANIJA</w:t>
            </w:r>
          </w:p>
          <w:p w:rsidR="001B4916" w:rsidRPr="00021AA7" w:rsidRDefault="001B4916" w:rsidP="003B0D03">
            <w:pPr>
              <w:spacing w:after="0"/>
              <w:jc w:val="center"/>
              <w:rPr>
                <w:rFonts w:asciiTheme="minorHAnsi" w:hAnsiTheme="minorHAnsi" w:cstheme="minorHAnsi"/>
                <w:b/>
              </w:rPr>
            </w:pPr>
            <w:r w:rsidRPr="00021AA7">
              <w:rPr>
                <w:rFonts w:asciiTheme="minorHAnsi" w:hAnsiTheme="minorHAnsi" w:cstheme="minorHAnsi"/>
                <w:b/>
              </w:rPr>
              <w:t xml:space="preserve">Upravni odjel za </w:t>
            </w:r>
            <w:r w:rsidR="005D5AFB" w:rsidRPr="00021AA7">
              <w:rPr>
                <w:rFonts w:asciiTheme="minorHAnsi" w:hAnsiTheme="minorHAnsi" w:cstheme="minorHAnsi"/>
                <w:b/>
              </w:rPr>
              <w:t>proračun i javnu nabavu</w:t>
            </w:r>
          </w:p>
          <w:p w:rsidR="001B4916" w:rsidRPr="00021AA7" w:rsidRDefault="001B4916" w:rsidP="003B0D03">
            <w:pPr>
              <w:spacing w:after="0"/>
              <w:jc w:val="center"/>
              <w:rPr>
                <w:rFonts w:asciiTheme="minorHAnsi" w:hAnsiTheme="minorHAnsi" w:cstheme="minorHAnsi"/>
                <w:b/>
              </w:rPr>
            </w:pPr>
          </w:p>
        </w:tc>
      </w:tr>
      <w:tr w:rsidR="001B4916" w:rsidRPr="00021AA7" w:rsidTr="003B0D03">
        <w:trPr>
          <w:trHeight w:val="839"/>
        </w:trPr>
        <w:tc>
          <w:tcPr>
            <w:tcW w:w="4350" w:type="dxa"/>
            <w:tcBorders>
              <w:top w:val="single" w:sz="4" w:space="0" w:color="auto"/>
              <w:left w:val="single" w:sz="4" w:space="0" w:color="auto"/>
              <w:bottom w:val="single" w:sz="4" w:space="0" w:color="auto"/>
              <w:right w:val="single" w:sz="4" w:space="0" w:color="auto"/>
            </w:tcBorders>
          </w:tcPr>
          <w:p w:rsidR="001B4916" w:rsidRPr="00021AA7" w:rsidRDefault="001B4916" w:rsidP="003B0D03">
            <w:pPr>
              <w:spacing w:after="0"/>
              <w:jc w:val="center"/>
              <w:rPr>
                <w:rFonts w:asciiTheme="minorHAnsi" w:hAnsiTheme="minorHAnsi" w:cstheme="minorHAnsi"/>
                <w:b/>
                <w:u w:val="single"/>
              </w:rPr>
            </w:pPr>
          </w:p>
          <w:p w:rsidR="001B4916" w:rsidRPr="00021AA7" w:rsidRDefault="001B4916" w:rsidP="003B0D03">
            <w:pPr>
              <w:spacing w:after="0"/>
              <w:jc w:val="center"/>
              <w:rPr>
                <w:rFonts w:asciiTheme="minorHAnsi" w:hAnsiTheme="minorHAnsi" w:cstheme="minorHAnsi"/>
                <w:b/>
                <w:u w:val="single"/>
              </w:rPr>
            </w:pPr>
            <w:r w:rsidRPr="00021AA7">
              <w:rPr>
                <w:rFonts w:asciiTheme="minorHAnsi" w:hAnsiTheme="minorHAnsi" w:cstheme="minorHAnsi"/>
                <w:b/>
                <w:u w:val="single"/>
              </w:rPr>
              <w:t>Početak savjetovanja</w:t>
            </w:r>
          </w:p>
          <w:p w:rsidR="0055030B" w:rsidRPr="00021AA7" w:rsidRDefault="00021AA7" w:rsidP="003B0D03">
            <w:pPr>
              <w:spacing w:after="0"/>
              <w:jc w:val="center"/>
              <w:rPr>
                <w:rFonts w:asciiTheme="minorHAnsi" w:hAnsiTheme="minorHAnsi" w:cstheme="minorHAnsi"/>
                <w:b/>
                <w:u w:val="single"/>
              </w:rPr>
            </w:pPr>
            <w:r w:rsidRPr="00021AA7">
              <w:rPr>
                <w:rFonts w:asciiTheme="minorHAnsi" w:hAnsiTheme="minorHAnsi" w:cstheme="minorHAnsi"/>
                <w:b/>
                <w:u w:val="single"/>
              </w:rPr>
              <w:t>20.5.2022.</w:t>
            </w:r>
          </w:p>
          <w:p w:rsidR="001B4916" w:rsidRPr="00021AA7" w:rsidRDefault="001B4916" w:rsidP="003B0D03">
            <w:pPr>
              <w:spacing w:after="0"/>
              <w:jc w:val="center"/>
              <w:rPr>
                <w:rFonts w:asciiTheme="minorHAnsi" w:hAnsiTheme="minorHAnsi" w:cstheme="minorHAnsi"/>
                <w:b/>
              </w:rPr>
            </w:pPr>
          </w:p>
        </w:tc>
        <w:tc>
          <w:tcPr>
            <w:tcW w:w="4320" w:type="dxa"/>
            <w:tcBorders>
              <w:top w:val="single" w:sz="4" w:space="0" w:color="auto"/>
              <w:left w:val="single" w:sz="4" w:space="0" w:color="auto"/>
              <w:bottom w:val="single" w:sz="4" w:space="0" w:color="auto"/>
              <w:right w:val="single" w:sz="4" w:space="0" w:color="auto"/>
            </w:tcBorders>
          </w:tcPr>
          <w:p w:rsidR="001B4916" w:rsidRPr="00021AA7" w:rsidRDefault="001B4916" w:rsidP="003B0D03">
            <w:pPr>
              <w:spacing w:after="0"/>
              <w:jc w:val="center"/>
              <w:rPr>
                <w:rFonts w:asciiTheme="minorHAnsi" w:hAnsiTheme="minorHAnsi" w:cstheme="minorHAnsi"/>
                <w:b/>
                <w:u w:val="single"/>
              </w:rPr>
            </w:pPr>
          </w:p>
          <w:p w:rsidR="001B4916" w:rsidRPr="00021AA7" w:rsidRDefault="001B4916" w:rsidP="003B0D03">
            <w:pPr>
              <w:spacing w:after="0"/>
              <w:jc w:val="center"/>
              <w:rPr>
                <w:rFonts w:asciiTheme="minorHAnsi" w:hAnsiTheme="minorHAnsi" w:cstheme="minorHAnsi"/>
                <w:b/>
                <w:u w:val="single"/>
              </w:rPr>
            </w:pPr>
            <w:r w:rsidRPr="00021AA7">
              <w:rPr>
                <w:rFonts w:asciiTheme="minorHAnsi" w:hAnsiTheme="minorHAnsi" w:cstheme="minorHAnsi"/>
                <w:b/>
                <w:u w:val="single"/>
              </w:rPr>
              <w:t>Završetak savjetovanja</w:t>
            </w:r>
          </w:p>
          <w:p w:rsidR="0055030B" w:rsidRPr="00021AA7" w:rsidRDefault="00021AA7" w:rsidP="003B0D03">
            <w:pPr>
              <w:spacing w:after="0"/>
              <w:jc w:val="center"/>
              <w:rPr>
                <w:rFonts w:asciiTheme="minorHAnsi" w:hAnsiTheme="minorHAnsi" w:cstheme="minorHAnsi"/>
                <w:b/>
                <w:u w:val="single"/>
              </w:rPr>
            </w:pPr>
            <w:r w:rsidRPr="00021AA7">
              <w:rPr>
                <w:rFonts w:asciiTheme="minorHAnsi" w:hAnsiTheme="minorHAnsi" w:cstheme="minorHAnsi"/>
                <w:b/>
                <w:u w:val="single"/>
              </w:rPr>
              <w:t>24.5.2022.</w:t>
            </w:r>
          </w:p>
          <w:p w:rsidR="001B4916" w:rsidRPr="00021AA7" w:rsidRDefault="001B4916" w:rsidP="003B0D03">
            <w:pPr>
              <w:spacing w:after="0"/>
              <w:jc w:val="center"/>
              <w:rPr>
                <w:rFonts w:asciiTheme="minorHAnsi" w:hAnsiTheme="minorHAnsi" w:cstheme="minorHAnsi"/>
                <w:b/>
              </w:rPr>
            </w:pPr>
          </w:p>
        </w:tc>
      </w:tr>
    </w:tbl>
    <w:p w:rsidR="001B4916" w:rsidRPr="00021AA7" w:rsidRDefault="001B4916" w:rsidP="001B4916">
      <w:pPr>
        <w:ind w:left="2832" w:firstLine="708"/>
        <w:rPr>
          <w:rFonts w:asciiTheme="minorHAnsi" w:hAnsiTheme="minorHAnsi" w:cstheme="minorHAnsi"/>
        </w:rPr>
      </w:pPr>
    </w:p>
    <w:p w:rsidR="001B4916" w:rsidRPr="00021AA7" w:rsidRDefault="001B4916" w:rsidP="001B4916">
      <w:pPr>
        <w:ind w:left="2832" w:firstLine="708"/>
        <w:rPr>
          <w:rFonts w:asciiTheme="minorHAnsi" w:hAnsiTheme="minorHAnsi" w:cstheme="minorHAnsi"/>
          <w:b/>
        </w:rPr>
      </w:pPr>
      <w:r w:rsidRPr="00021AA7">
        <w:rPr>
          <w:rFonts w:asciiTheme="minorHAnsi" w:hAnsiTheme="minorHAnsi" w:cstheme="minorHAnsi"/>
          <w:b/>
        </w:rPr>
        <w:t>RAZLOG DONOŠENJA</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0"/>
      </w:tblGrid>
      <w:tr w:rsidR="001B4916" w:rsidRPr="00021AA7" w:rsidTr="003B0D03">
        <w:trPr>
          <w:trHeight w:val="70"/>
        </w:trPr>
        <w:tc>
          <w:tcPr>
            <w:tcW w:w="8610" w:type="dxa"/>
            <w:tcBorders>
              <w:top w:val="single" w:sz="4" w:space="0" w:color="auto"/>
              <w:left w:val="single" w:sz="4" w:space="0" w:color="auto"/>
              <w:bottom w:val="single" w:sz="4" w:space="0" w:color="auto"/>
              <w:right w:val="single" w:sz="4" w:space="0" w:color="auto"/>
            </w:tcBorders>
          </w:tcPr>
          <w:p w:rsidR="00021AA7" w:rsidRPr="00021AA7" w:rsidRDefault="001B4916" w:rsidP="00021AA7">
            <w:pPr>
              <w:jc w:val="both"/>
              <w:rPr>
                <w:rFonts w:asciiTheme="minorHAnsi" w:hAnsiTheme="minorHAnsi" w:cstheme="minorHAnsi"/>
              </w:rPr>
            </w:pPr>
            <w:r w:rsidRPr="00021AA7">
              <w:rPr>
                <w:rFonts w:asciiTheme="minorHAnsi" w:hAnsiTheme="minorHAnsi" w:cstheme="minorHAnsi"/>
                <w:lang w:eastAsia="hr-HR"/>
              </w:rPr>
              <w:t xml:space="preserve"> </w:t>
            </w:r>
            <w:r w:rsidR="00021AA7" w:rsidRPr="00021AA7">
              <w:rPr>
                <w:rFonts w:asciiTheme="minorHAnsi" w:hAnsiTheme="minorHAnsi" w:cstheme="minorHAnsi"/>
              </w:rPr>
              <w:t xml:space="preserve">Prvim izmjenama i dopunama Proračuna za 2022. godinu predlaže se povećanje ukupnih prihoda i primitaka za 3.994.059,00 kuna, sa 884.159.374,00 kuna na 888.153.433,00 kuna. </w:t>
            </w:r>
          </w:p>
          <w:p w:rsidR="00021AA7" w:rsidRPr="00021AA7" w:rsidRDefault="00021AA7" w:rsidP="00021AA7">
            <w:pPr>
              <w:jc w:val="both"/>
              <w:rPr>
                <w:rFonts w:asciiTheme="minorHAnsi" w:hAnsiTheme="minorHAnsi" w:cstheme="minorHAnsi"/>
              </w:rPr>
            </w:pPr>
            <w:r w:rsidRPr="00021AA7">
              <w:rPr>
                <w:rFonts w:asciiTheme="minorHAnsi" w:hAnsiTheme="minorHAnsi" w:cstheme="minorHAnsi"/>
              </w:rPr>
              <w:t>Nakon planiranog sukcesivnog pokrića manjka od 9.000.000,00 kuna prihodi i primici iznose 879.153.433,00 kuna i isti pokrivaju sveukupne rashode i izdatke koji su se povećali za 3.994.059,00 kuna i iznose 879.153.433,00 kuna.</w:t>
            </w:r>
          </w:p>
          <w:p w:rsidR="00021AA7" w:rsidRPr="00021AA7" w:rsidRDefault="00021AA7" w:rsidP="00021AA7">
            <w:pPr>
              <w:jc w:val="both"/>
              <w:rPr>
                <w:rFonts w:asciiTheme="minorHAnsi" w:hAnsiTheme="minorHAnsi" w:cstheme="minorHAnsi"/>
              </w:rPr>
            </w:pPr>
            <w:r w:rsidRPr="00021AA7">
              <w:rPr>
                <w:rFonts w:asciiTheme="minorHAnsi" w:hAnsiTheme="minorHAnsi" w:cstheme="minorHAnsi"/>
              </w:rPr>
              <w:t xml:space="preserve">Prvim rebalansom proračuna planirano je povećanje prihoda sukladno do sada evidentiranim prihodima zbog realizacije projekata i kapitalizacije imovine, te smanjenje pojedinih proračunskih stavaka zbog neutrošenih sredstava. </w:t>
            </w:r>
          </w:p>
          <w:p w:rsidR="00021AA7" w:rsidRPr="00021AA7" w:rsidRDefault="00021AA7" w:rsidP="00021AA7">
            <w:pPr>
              <w:jc w:val="both"/>
              <w:rPr>
                <w:rFonts w:asciiTheme="minorHAnsi" w:hAnsiTheme="minorHAnsi" w:cstheme="minorHAnsi"/>
              </w:rPr>
            </w:pPr>
            <w:r w:rsidRPr="00021AA7">
              <w:rPr>
                <w:rFonts w:asciiTheme="minorHAnsi" w:hAnsiTheme="minorHAnsi" w:cstheme="minorHAnsi"/>
              </w:rPr>
              <w:t xml:space="preserve">Općenito, Izmjenama i dopunama proračuna Međimurske županije osigurava se povećanje financijskih sredstava za realizaciju jednokratnih potpora studentima s područja Međimurske županije, koje su povećane sa 600 na 800 kuna, za što je potrebno dodatnih 401 000 kuna. Novim Zakonom o vatrogastvu potrebno je osigurati sredstva za plaću vatrogasnog zapovjednika, te su osigurana dodatna sredstva za zbrinjavanje raseljenih osoba sa ratom zahvaćenih područja u Ukrajini. Sukladno strategiji obrazovanja u Međimurju, Županija će stipendirati učenike za deficitarna zanimanja u većem obimu nego do sada, za što je osigurano dodatnih 228 000 kuna. Time se broj stipendija nastoji povećati na stotinjak. Osigurana su financijska sredstva za pripremu projekata za znanstveni centar ITEO u krugu bivše vojarne, obnovu dvorca </w:t>
            </w:r>
            <w:proofErr w:type="spellStart"/>
            <w:r w:rsidRPr="00021AA7">
              <w:rPr>
                <w:rFonts w:asciiTheme="minorHAnsi" w:hAnsiTheme="minorHAnsi" w:cstheme="minorHAnsi"/>
              </w:rPr>
              <w:t>Feštetić</w:t>
            </w:r>
            <w:proofErr w:type="spellEnd"/>
            <w:r w:rsidRPr="00021AA7">
              <w:rPr>
                <w:rFonts w:asciiTheme="minorHAnsi" w:hAnsiTheme="minorHAnsi" w:cstheme="minorHAnsi"/>
              </w:rPr>
              <w:t xml:space="preserve"> u </w:t>
            </w:r>
            <w:proofErr w:type="spellStart"/>
            <w:r w:rsidRPr="00021AA7">
              <w:rPr>
                <w:rFonts w:asciiTheme="minorHAnsi" w:hAnsiTheme="minorHAnsi" w:cstheme="minorHAnsi"/>
              </w:rPr>
              <w:t>Pribislavcu</w:t>
            </w:r>
            <w:proofErr w:type="spellEnd"/>
            <w:r w:rsidRPr="00021AA7">
              <w:rPr>
                <w:rFonts w:asciiTheme="minorHAnsi" w:hAnsiTheme="minorHAnsi" w:cstheme="minorHAnsi"/>
              </w:rPr>
              <w:t xml:space="preserve">, energetsku obnovu javnih zgrada, postavljanje </w:t>
            </w:r>
            <w:proofErr w:type="spellStart"/>
            <w:r w:rsidRPr="00021AA7">
              <w:rPr>
                <w:rFonts w:asciiTheme="minorHAnsi" w:hAnsiTheme="minorHAnsi" w:cstheme="minorHAnsi"/>
              </w:rPr>
              <w:t>fotonaponskih</w:t>
            </w:r>
            <w:proofErr w:type="spellEnd"/>
            <w:r w:rsidRPr="00021AA7">
              <w:rPr>
                <w:rFonts w:asciiTheme="minorHAnsi" w:hAnsiTheme="minorHAnsi" w:cstheme="minorHAnsi"/>
              </w:rPr>
              <w:t xml:space="preserve"> elektrana na javne zgrade, te interpretacijski centar Međimurske </w:t>
            </w:r>
            <w:proofErr w:type="spellStart"/>
            <w:r w:rsidRPr="00021AA7">
              <w:rPr>
                <w:rFonts w:asciiTheme="minorHAnsi" w:hAnsiTheme="minorHAnsi" w:cstheme="minorHAnsi"/>
              </w:rPr>
              <w:t>popevke</w:t>
            </w:r>
            <w:proofErr w:type="spellEnd"/>
            <w:r w:rsidRPr="00021AA7">
              <w:rPr>
                <w:rFonts w:asciiTheme="minorHAnsi" w:hAnsiTheme="minorHAnsi" w:cstheme="minorHAnsi"/>
              </w:rPr>
              <w:t xml:space="preserve"> u Donjoj Dubravi. Povećavaju se sredstva Zajednici tehničke kulture i potpore u poljoprivredi, dok je, sukladno Zakonu, obaveza uvrstiti stavku decentraliziranih sredstava za ogrjev. </w:t>
            </w:r>
          </w:p>
          <w:p w:rsidR="00021AA7" w:rsidRPr="00021AA7" w:rsidRDefault="00021AA7" w:rsidP="00021AA7">
            <w:pPr>
              <w:jc w:val="both"/>
              <w:rPr>
                <w:rFonts w:asciiTheme="minorHAnsi" w:hAnsiTheme="minorHAnsi" w:cstheme="minorHAnsi"/>
              </w:rPr>
            </w:pPr>
            <w:r w:rsidRPr="00021AA7">
              <w:rPr>
                <w:rFonts w:asciiTheme="minorHAnsi" w:hAnsiTheme="minorHAnsi" w:cstheme="minorHAnsi"/>
              </w:rPr>
              <w:t xml:space="preserve">Izmjenama i dopunama Proračuna Međimurske županije potrebno je preusmjeriti planirane aktivnosti na druge proračunske pozicije, poput osiguravanja sredstava za učenike srednjih škola za nabavku radnog materijala, uvođenje nove stavke realizacije programa Dana županije </w:t>
            </w:r>
            <w:r w:rsidRPr="00021AA7">
              <w:rPr>
                <w:rFonts w:asciiTheme="minorHAnsi" w:hAnsiTheme="minorHAnsi" w:cstheme="minorHAnsi"/>
              </w:rPr>
              <w:lastRenderedPageBreak/>
              <w:t xml:space="preserve">te prilagodba proračunskih stavaka sukladno prirodnoj vrsti troška. </w:t>
            </w:r>
          </w:p>
          <w:p w:rsidR="001B4916" w:rsidRPr="00021AA7" w:rsidRDefault="001B4916" w:rsidP="005235D1">
            <w:pPr>
              <w:autoSpaceDE w:val="0"/>
              <w:autoSpaceDN w:val="0"/>
              <w:adjustRightInd w:val="0"/>
              <w:spacing w:after="0"/>
              <w:ind w:firstLine="720"/>
              <w:jc w:val="both"/>
              <w:rPr>
                <w:rFonts w:asciiTheme="minorHAnsi" w:hAnsiTheme="minorHAnsi" w:cstheme="minorHAnsi"/>
              </w:rPr>
            </w:pPr>
          </w:p>
        </w:tc>
      </w:tr>
    </w:tbl>
    <w:p w:rsidR="001B4916" w:rsidRPr="00021AA7" w:rsidRDefault="001B4916" w:rsidP="001B4916">
      <w:pPr>
        <w:jc w:val="both"/>
        <w:rPr>
          <w:rFonts w:asciiTheme="minorHAnsi" w:hAnsiTheme="minorHAnsi" w:cstheme="minorHAnsi"/>
        </w:rPr>
      </w:pPr>
    </w:p>
    <w:p w:rsidR="001B4916" w:rsidRPr="00021AA7" w:rsidRDefault="001B4916" w:rsidP="001B4916">
      <w:pPr>
        <w:ind w:firstLine="708"/>
        <w:jc w:val="both"/>
        <w:rPr>
          <w:rFonts w:asciiTheme="minorHAnsi" w:hAnsiTheme="minorHAnsi" w:cstheme="minorHAnsi"/>
          <w:u w:val="single"/>
        </w:rPr>
      </w:pPr>
      <w:r w:rsidRPr="00021AA7">
        <w:rPr>
          <w:rFonts w:asciiTheme="minorHAnsi" w:hAnsiTheme="minorHAnsi" w:cstheme="minorHAnsi"/>
        </w:rPr>
        <w:t xml:space="preserve">Pozivamo predstavnike zainteresirane javnosti da najkasnije do </w:t>
      </w:r>
      <w:r w:rsidR="00021AA7" w:rsidRPr="00021AA7">
        <w:rPr>
          <w:rFonts w:asciiTheme="minorHAnsi" w:hAnsiTheme="minorHAnsi" w:cstheme="minorHAnsi"/>
          <w:b/>
        </w:rPr>
        <w:t>24.5. 2022</w:t>
      </w:r>
      <w:r w:rsidR="0055030B" w:rsidRPr="00021AA7">
        <w:rPr>
          <w:rFonts w:asciiTheme="minorHAnsi" w:hAnsiTheme="minorHAnsi" w:cstheme="minorHAnsi"/>
          <w:b/>
        </w:rPr>
        <w:t xml:space="preserve">. godine </w:t>
      </w:r>
      <w:r w:rsidRPr="00021AA7">
        <w:rPr>
          <w:rFonts w:asciiTheme="minorHAnsi" w:hAnsiTheme="minorHAnsi" w:cstheme="minorHAnsi"/>
        </w:rPr>
        <w:t xml:space="preserve">dostave svoje komentare na </w:t>
      </w:r>
      <w:r w:rsidRPr="00021AA7">
        <w:rPr>
          <w:rFonts w:asciiTheme="minorHAnsi" w:hAnsiTheme="minorHAnsi" w:cstheme="minorHAnsi"/>
          <w:u w:val="single"/>
        </w:rPr>
        <w:t>Prije</w:t>
      </w:r>
      <w:r w:rsidR="003D2439" w:rsidRPr="00021AA7">
        <w:rPr>
          <w:rFonts w:asciiTheme="minorHAnsi" w:hAnsiTheme="minorHAnsi" w:cstheme="minorHAnsi"/>
          <w:u w:val="single"/>
        </w:rPr>
        <w:t xml:space="preserve">dlog </w:t>
      </w:r>
      <w:r w:rsidR="00021AA7" w:rsidRPr="00021AA7">
        <w:rPr>
          <w:rFonts w:asciiTheme="minorHAnsi" w:hAnsiTheme="minorHAnsi" w:cstheme="minorHAnsi"/>
          <w:u w:val="single"/>
        </w:rPr>
        <w:t>I. izmjena i dopuna Proračuna Međimurke županije za 202</w:t>
      </w:r>
      <w:r w:rsidR="00021AA7">
        <w:rPr>
          <w:rFonts w:asciiTheme="minorHAnsi" w:hAnsiTheme="minorHAnsi" w:cstheme="minorHAnsi"/>
          <w:u w:val="single"/>
        </w:rPr>
        <w:t>2</w:t>
      </w:r>
      <w:r w:rsidR="00021AA7" w:rsidRPr="00021AA7">
        <w:rPr>
          <w:rFonts w:asciiTheme="minorHAnsi" w:hAnsiTheme="minorHAnsi" w:cstheme="minorHAnsi"/>
          <w:u w:val="single"/>
        </w:rPr>
        <w:t xml:space="preserve">. godinu </w:t>
      </w:r>
      <w:r w:rsidRPr="00021AA7">
        <w:rPr>
          <w:rFonts w:asciiTheme="minorHAnsi" w:hAnsiTheme="minorHAnsi" w:cstheme="minorHAnsi"/>
        </w:rPr>
        <w:t>putem OBRASCA za savjetovanje na e-mail:</w:t>
      </w:r>
      <w:r w:rsidRPr="00021AA7">
        <w:rPr>
          <w:rFonts w:asciiTheme="minorHAnsi" w:hAnsiTheme="minorHAnsi" w:cstheme="minorHAnsi"/>
          <w:b/>
        </w:rPr>
        <w:t xml:space="preserve"> </w:t>
      </w:r>
      <w:hyperlink r:id="rId5" w:history="1">
        <w:r w:rsidR="00F00BCF" w:rsidRPr="00021AA7">
          <w:rPr>
            <w:rStyle w:val="Hiperveza"/>
            <w:rFonts w:asciiTheme="minorHAnsi" w:hAnsiTheme="minorHAnsi" w:cstheme="minorHAnsi"/>
            <w:b/>
            <w:color w:val="auto"/>
          </w:rPr>
          <w:t>skupstina@medjimurska-zupanija.hr</w:t>
        </w:r>
      </w:hyperlink>
      <w:r w:rsidRPr="00021AA7">
        <w:rPr>
          <w:rFonts w:asciiTheme="minorHAnsi" w:hAnsiTheme="minorHAnsi" w:cstheme="minorHAnsi"/>
          <w:b/>
        </w:rPr>
        <w:t xml:space="preserve">. </w:t>
      </w:r>
    </w:p>
    <w:p w:rsidR="001B4916" w:rsidRPr="00021AA7" w:rsidRDefault="001B4916" w:rsidP="001B4916">
      <w:pPr>
        <w:ind w:firstLine="708"/>
        <w:jc w:val="both"/>
        <w:rPr>
          <w:rFonts w:asciiTheme="minorHAnsi" w:hAnsiTheme="minorHAnsi" w:cstheme="minorHAnsi"/>
        </w:rPr>
      </w:pPr>
      <w:r w:rsidRPr="00021AA7">
        <w:rPr>
          <w:rFonts w:asciiTheme="minorHAnsi" w:hAnsiTheme="minorHAnsi" w:cstheme="minorHAnsi"/>
        </w:rPr>
        <w:t xml:space="preserve">Po završetku savjetovanja, svi pristigli doprinosi biti će javno dostupni na internetskoj stranici Međimurske županije. </w:t>
      </w:r>
    </w:p>
    <w:p w:rsidR="001B4916" w:rsidRPr="00021AA7" w:rsidRDefault="001B4916" w:rsidP="001B4916">
      <w:pPr>
        <w:ind w:firstLine="708"/>
        <w:jc w:val="both"/>
        <w:rPr>
          <w:rFonts w:asciiTheme="minorHAnsi" w:hAnsiTheme="minorHAnsi" w:cstheme="minorHAnsi"/>
        </w:rPr>
      </w:pPr>
      <w:r w:rsidRPr="00021AA7">
        <w:rPr>
          <w:rFonts w:asciiTheme="minorHAnsi" w:hAnsiTheme="minorHAnsi" w:cstheme="minorHAnsi"/>
        </w:rPr>
        <w:t xml:space="preserve">Ukoliko ne želite da Vaš doprinos bude javno objavljen, molimo Vas da to </w:t>
      </w:r>
      <w:r w:rsidRPr="00021AA7">
        <w:rPr>
          <w:rFonts w:asciiTheme="minorHAnsi" w:hAnsiTheme="minorHAnsi" w:cstheme="minorHAnsi"/>
          <w:b/>
          <w:u w:val="thick"/>
        </w:rPr>
        <w:t>jasno istaknete</w:t>
      </w:r>
      <w:r w:rsidRPr="00021AA7">
        <w:rPr>
          <w:rFonts w:asciiTheme="minorHAnsi" w:hAnsiTheme="minorHAnsi" w:cstheme="minorHAnsi"/>
        </w:rPr>
        <w:t xml:space="preserve"> pri dostavi obrasca.</w:t>
      </w:r>
    </w:p>
    <w:p w:rsidR="001B4916" w:rsidRPr="00021AA7" w:rsidRDefault="001B4916" w:rsidP="00770875">
      <w:pPr>
        <w:ind w:firstLine="708"/>
        <w:jc w:val="both"/>
        <w:rPr>
          <w:rFonts w:asciiTheme="minorHAnsi" w:hAnsiTheme="minorHAnsi" w:cstheme="minorHAnsi"/>
        </w:rPr>
      </w:pPr>
      <w:r w:rsidRPr="00021AA7">
        <w:rPr>
          <w:rFonts w:asciiTheme="minorHAnsi" w:hAnsiTheme="minorHAnsi" w:cstheme="minorHAnsi"/>
        </w:rPr>
        <w:t>Zahvaljujemo na doprinosu</w:t>
      </w:r>
      <w:r w:rsidR="00DA6747" w:rsidRPr="00021AA7">
        <w:rPr>
          <w:rFonts w:asciiTheme="minorHAnsi" w:hAnsiTheme="minorHAnsi" w:cstheme="minorHAnsi"/>
        </w:rPr>
        <w:t>.</w:t>
      </w:r>
    </w:p>
    <w:p w:rsidR="00C25C6B" w:rsidRPr="00777913" w:rsidRDefault="00C25C6B"/>
    <w:sectPr w:rsidR="00C25C6B" w:rsidRPr="00777913" w:rsidSect="00C25C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B8DB12"/>
    <w:lvl w:ilvl="0">
      <w:numFmt w:val="decimal"/>
      <w:lvlText w:val="*"/>
      <w:lvlJc w:val="left"/>
      <w:pPr>
        <w:ind w:left="0" w:firstLine="0"/>
      </w:pPr>
    </w:lvl>
  </w:abstractNum>
  <w:abstractNum w:abstractNumId="1">
    <w:nsid w:val="10ED195F"/>
    <w:multiLevelType w:val="hybridMultilevel"/>
    <w:tmpl w:val="EE468110"/>
    <w:lvl w:ilvl="0" w:tplc="3A3EAF34">
      <w:numFmt w:val="bullet"/>
      <w:lvlText w:val="-"/>
      <w:lvlJc w:val="left"/>
      <w:pPr>
        <w:ind w:left="1065" w:hanging="360"/>
      </w:pPr>
      <w:rPr>
        <w:rFonts w:ascii="Arial" w:eastAsia="Calibr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2F593291"/>
    <w:multiLevelType w:val="hybridMultilevel"/>
    <w:tmpl w:val="8DAA25AA"/>
    <w:lvl w:ilvl="0" w:tplc="048CE602">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52ED27A5"/>
    <w:multiLevelType w:val="hybridMultilevel"/>
    <w:tmpl w:val="4D228EAA"/>
    <w:lvl w:ilvl="0" w:tplc="041A0001">
      <w:start w:val="1"/>
      <w:numFmt w:val="bullet"/>
      <w:lvlText w:val=""/>
      <w:lvlJc w:val="left"/>
      <w:pPr>
        <w:tabs>
          <w:tab w:val="num" w:pos="1400"/>
        </w:tabs>
        <w:ind w:left="140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4916"/>
    <w:rsid w:val="00021AA7"/>
    <w:rsid w:val="001964F9"/>
    <w:rsid w:val="001B4916"/>
    <w:rsid w:val="00266ACE"/>
    <w:rsid w:val="002C5C75"/>
    <w:rsid w:val="003233BD"/>
    <w:rsid w:val="00341413"/>
    <w:rsid w:val="00343A1B"/>
    <w:rsid w:val="00360C37"/>
    <w:rsid w:val="00367957"/>
    <w:rsid w:val="003D2439"/>
    <w:rsid w:val="0042646A"/>
    <w:rsid w:val="00434E55"/>
    <w:rsid w:val="00440B1E"/>
    <w:rsid w:val="00451315"/>
    <w:rsid w:val="005235D1"/>
    <w:rsid w:val="005258C1"/>
    <w:rsid w:val="00533C07"/>
    <w:rsid w:val="00545426"/>
    <w:rsid w:val="0055030B"/>
    <w:rsid w:val="00596B28"/>
    <w:rsid w:val="005D5AFB"/>
    <w:rsid w:val="00622B92"/>
    <w:rsid w:val="00673C58"/>
    <w:rsid w:val="00674530"/>
    <w:rsid w:val="00694702"/>
    <w:rsid w:val="00770875"/>
    <w:rsid w:val="00777913"/>
    <w:rsid w:val="008A5AC2"/>
    <w:rsid w:val="008C6A41"/>
    <w:rsid w:val="008F0169"/>
    <w:rsid w:val="00A118D4"/>
    <w:rsid w:val="00A3490A"/>
    <w:rsid w:val="00A948DC"/>
    <w:rsid w:val="00AD1A1B"/>
    <w:rsid w:val="00B70BDE"/>
    <w:rsid w:val="00BB2DB6"/>
    <w:rsid w:val="00C25C6B"/>
    <w:rsid w:val="00C63DEC"/>
    <w:rsid w:val="00CB2F63"/>
    <w:rsid w:val="00CC22BA"/>
    <w:rsid w:val="00CD78F7"/>
    <w:rsid w:val="00D40359"/>
    <w:rsid w:val="00D936C7"/>
    <w:rsid w:val="00DA6747"/>
    <w:rsid w:val="00E9601A"/>
    <w:rsid w:val="00EE4CF6"/>
    <w:rsid w:val="00F00BCF"/>
    <w:rsid w:val="00F84A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4916"/>
    <w:pPr>
      <w:ind w:left="720"/>
      <w:contextualSpacing/>
    </w:pPr>
  </w:style>
  <w:style w:type="character" w:styleId="Hiperveza">
    <w:name w:val="Hyperlink"/>
    <w:basedOn w:val="Zadanifontodlomka"/>
    <w:uiPriority w:val="99"/>
    <w:unhideWhenUsed/>
    <w:rsid w:val="001B4916"/>
    <w:rPr>
      <w:color w:val="0000FF"/>
      <w:u w:val="single"/>
    </w:rPr>
  </w:style>
  <w:style w:type="paragraph" w:customStyle="1" w:styleId="Tijeloteksta21">
    <w:name w:val="Tijelo teksta 21"/>
    <w:basedOn w:val="Normal"/>
    <w:rsid w:val="001B4916"/>
    <w:pPr>
      <w:overflowPunct w:val="0"/>
      <w:autoSpaceDE w:val="0"/>
      <w:autoSpaceDN w:val="0"/>
      <w:adjustRightInd w:val="0"/>
      <w:spacing w:after="0" w:line="240" w:lineRule="auto"/>
    </w:pPr>
    <w:rPr>
      <w:rFonts w:ascii="Times New Roman" w:eastAsia="Times New Roman" w:hAnsi="Times New Roman"/>
      <w:b/>
      <w:i/>
      <w:sz w:val="24"/>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upstina@medjimurska-zupanij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dc:creator>
  <cp:lastModifiedBy>kristinaZ</cp:lastModifiedBy>
  <cp:revision>22</cp:revision>
  <dcterms:created xsi:type="dcterms:W3CDTF">2018-11-30T07:59:00Z</dcterms:created>
  <dcterms:modified xsi:type="dcterms:W3CDTF">2022-05-20T11:18:00Z</dcterms:modified>
</cp:coreProperties>
</file>